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4E5F9F" w14:textId="77777777" w:rsidR="00D60D0A" w:rsidRDefault="00D60D0A" w:rsidP="00C81ED5">
      <w:pPr>
        <w:spacing w:after="0" w:line="480" w:lineRule="auto"/>
        <w:jc w:val="center"/>
      </w:pPr>
      <w:r>
        <w:t>Mental Health and Marginalization Stress in Transgender and Gender Diverse Adults: Differences between Urban and Non-Urban Experiences</w:t>
      </w:r>
    </w:p>
    <w:p w14:paraId="4737BC74" w14:textId="77777777" w:rsidR="00D60D0A" w:rsidRPr="00BD4E82" w:rsidRDefault="00D60D0A" w:rsidP="00D60D0A">
      <w:pPr>
        <w:spacing w:after="0" w:line="480" w:lineRule="auto"/>
        <w:jc w:val="center"/>
      </w:pPr>
      <w:r w:rsidRPr="00BD4E82">
        <w:t>Allura L. Ralston</w:t>
      </w:r>
    </w:p>
    <w:p w14:paraId="4045946B" w14:textId="77777777" w:rsidR="00D60D0A" w:rsidRPr="00BD4E82" w:rsidRDefault="00D60D0A" w:rsidP="00D60D0A">
      <w:pPr>
        <w:spacing w:after="0" w:line="480" w:lineRule="auto"/>
        <w:jc w:val="center"/>
      </w:pPr>
      <w:r w:rsidRPr="00BD4E82">
        <w:t>University of Nebraska-Lincoln</w:t>
      </w:r>
    </w:p>
    <w:p w14:paraId="485BA463" w14:textId="77777777" w:rsidR="00D60D0A" w:rsidRPr="00BD4E82" w:rsidRDefault="00D60D0A" w:rsidP="00D60D0A">
      <w:pPr>
        <w:spacing w:after="0" w:line="480" w:lineRule="auto"/>
        <w:jc w:val="center"/>
      </w:pPr>
      <w:r w:rsidRPr="00BD4E82">
        <w:t>Natalie R. Holt</w:t>
      </w:r>
    </w:p>
    <w:p w14:paraId="7EBE49CB" w14:textId="77777777" w:rsidR="00D60D0A" w:rsidRPr="00BD4E82" w:rsidRDefault="00D60D0A" w:rsidP="00D60D0A">
      <w:pPr>
        <w:spacing w:after="0" w:line="480" w:lineRule="auto"/>
        <w:jc w:val="center"/>
      </w:pPr>
      <w:r w:rsidRPr="00BD4E82">
        <w:t>University of Nebraska-Lincoln</w:t>
      </w:r>
    </w:p>
    <w:p w14:paraId="6521FD29" w14:textId="77777777" w:rsidR="00D60D0A" w:rsidRPr="00BD4E82" w:rsidRDefault="00D60D0A" w:rsidP="00D60D0A">
      <w:pPr>
        <w:spacing w:after="0" w:line="480" w:lineRule="auto"/>
        <w:jc w:val="center"/>
      </w:pPr>
      <w:r w:rsidRPr="00BD4E82">
        <w:t>Arthur R. Andrews III</w:t>
      </w:r>
    </w:p>
    <w:p w14:paraId="63F9F704" w14:textId="77777777" w:rsidR="00D60D0A" w:rsidRPr="00BD4E82" w:rsidRDefault="00D60D0A" w:rsidP="00D60D0A">
      <w:pPr>
        <w:spacing w:after="0" w:line="480" w:lineRule="auto"/>
        <w:jc w:val="center"/>
      </w:pPr>
      <w:r w:rsidRPr="00BD4E82">
        <w:t>University of Nebraska-Lincoln</w:t>
      </w:r>
    </w:p>
    <w:p w14:paraId="07864E97" w14:textId="77777777" w:rsidR="00D60D0A" w:rsidRPr="00BD4E82" w:rsidRDefault="00D60D0A" w:rsidP="00D60D0A">
      <w:pPr>
        <w:spacing w:after="0" w:line="480" w:lineRule="auto"/>
        <w:jc w:val="center"/>
      </w:pPr>
      <w:r w:rsidRPr="00BD4E82">
        <w:t xml:space="preserve"> T. Zachary Huit</w:t>
      </w:r>
    </w:p>
    <w:p w14:paraId="4681AD2E" w14:textId="77777777" w:rsidR="00D60D0A" w:rsidRPr="00BD4E82" w:rsidRDefault="00D60D0A" w:rsidP="00D60D0A">
      <w:pPr>
        <w:spacing w:after="0" w:line="480" w:lineRule="auto"/>
        <w:jc w:val="center"/>
      </w:pPr>
      <w:r w:rsidRPr="00BD4E82">
        <w:t xml:space="preserve">University of Nebraska-Lincoln </w:t>
      </w:r>
    </w:p>
    <w:p w14:paraId="77DD8BA2" w14:textId="77777777" w:rsidR="00D60D0A" w:rsidRPr="00BD4E82" w:rsidRDefault="00D60D0A" w:rsidP="00D60D0A">
      <w:pPr>
        <w:spacing w:after="0" w:line="480" w:lineRule="auto"/>
        <w:jc w:val="center"/>
      </w:pPr>
      <w:r w:rsidRPr="00BD4E82">
        <w:t xml:space="preserve"> Jae A. Puckett</w:t>
      </w:r>
    </w:p>
    <w:p w14:paraId="0942C276" w14:textId="77777777" w:rsidR="00D60D0A" w:rsidRPr="00BD4E82" w:rsidRDefault="00D60D0A" w:rsidP="00D60D0A">
      <w:pPr>
        <w:spacing w:after="0" w:line="480" w:lineRule="auto"/>
        <w:jc w:val="center"/>
      </w:pPr>
      <w:r w:rsidRPr="00BD4E82">
        <w:t>Michigan State University</w:t>
      </w:r>
    </w:p>
    <w:p w14:paraId="612ADF0A" w14:textId="77777777" w:rsidR="00D60D0A" w:rsidRPr="00BD4E82" w:rsidRDefault="00D60D0A" w:rsidP="00D60D0A">
      <w:pPr>
        <w:spacing w:after="0" w:line="480" w:lineRule="auto"/>
        <w:jc w:val="center"/>
      </w:pPr>
      <w:r w:rsidRPr="00BD4E82">
        <w:t>Nathan Woodruff</w:t>
      </w:r>
    </w:p>
    <w:p w14:paraId="44BB68FC" w14:textId="77777777" w:rsidR="00D60D0A" w:rsidRPr="00BD4E82" w:rsidRDefault="00D60D0A" w:rsidP="00D60D0A">
      <w:pPr>
        <w:spacing w:after="0" w:line="480" w:lineRule="auto"/>
        <w:jc w:val="center"/>
      </w:pPr>
      <w:r w:rsidRPr="00BD4E82">
        <w:t>Trans Collaborations Local Community Board</w:t>
      </w:r>
    </w:p>
    <w:p w14:paraId="64B76A08" w14:textId="77777777" w:rsidR="00D60D0A" w:rsidRPr="00BD4E82" w:rsidRDefault="00D60D0A" w:rsidP="00D60D0A">
      <w:pPr>
        <w:spacing w:after="0" w:line="480" w:lineRule="auto"/>
        <w:jc w:val="center"/>
      </w:pPr>
      <w:r w:rsidRPr="00BD4E82">
        <w:t xml:space="preserve"> Richard Mocarski</w:t>
      </w:r>
    </w:p>
    <w:p w14:paraId="6B6B909E" w14:textId="77777777" w:rsidR="00D60D0A" w:rsidRPr="00BD4E82" w:rsidRDefault="00D60D0A" w:rsidP="00D60D0A">
      <w:pPr>
        <w:spacing w:after="0" w:line="480" w:lineRule="auto"/>
        <w:jc w:val="center"/>
      </w:pPr>
      <w:r w:rsidRPr="00BD4E82">
        <w:t>University of Nebraska, Kearney</w:t>
      </w:r>
    </w:p>
    <w:p w14:paraId="1897E3D4" w14:textId="77777777" w:rsidR="00D60D0A" w:rsidRPr="00BD4E82" w:rsidRDefault="00D60D0A" w:rsidP="00D60D0A">
      <w:pPr>
        <w:spacing w:after="0" w:line="480" w:lineRule="auto"/>
        <w:jc w:val="center"/>
      </w:pPr>
      <w:r w:rsidRPr="00BD4E82">
        <w:t>Debra A. Hope</w:t>
      </w:r>
    </w:p>
    <w:p w14:paraId="160BFB2F" w14:textId="77777777" w:rsidR="00D60D0A" w:rsidRPr="00BD4E82" w:rsidRDefault="00D60D0A" w:rsidP="00D60D0A">
      <w:pPr>
        <w:spacing w:after="0" w:line="480" w:lineRule="auto"/>
        <w:jc w:val="center"/>
      </w:pPr>
      <w:r w:rsidRPr="00BD4E82">
        <w:t>University of Nebraska-Lincoln</w:t>
      </w:r>
    </w:p>
    <w:p w14:paraId="2F88E0D0" w14:textId="64AFF245" w:rsidR="00D60D0A" w:rsidRDefault="00D60D0A">
      <w:pPr>
        <w:rPr>
          <w:bCs w:val="0"/>
        </w:rPr>
      </w:pPr>
    </w:p>
    <w:p w14:paraId="5FA6E948" w14:textId="073F04AE" w:rsidR="00E8381D" w:rsidRDefault="00E8381D" w:rsidP="005B5657">
      <w:pPr>
        <w:spacing w:line="240" w:lineRule="auto"/>
        <w:rPr>
          <w:bCs w:val="0"/>
        </w:rPr>
      </w:pPr>
      <w:r w:rsidRPr="00E8381D">
        <w:rPr>
          <w:bCs w:val="0"/>
        </w:rPr>
        <w:t>This work was support in part by grant number</w:t>
      </w:r>
      <w:r w:rsidR="009B1523">
        <w:rPr>
          <w:bCs w:val="0"/>
        </w:rPr>
        <w:t xml:space="preserve"> </w:t>
      </w:r>
      <w:r w:rsidRPr="00E8381D">
        <w:rPr>
          <w:bCs w:val="0"/>
        </w:rPr>
        <w:t>R21MH108897 from the National Institute of Mental Health, a</w:t>
      </w:r>
      <w:r w:rsidR="009B1523">
        <w:rPr>
          <w:bCs w:val="0"/>
        </w:rPr>
        <w:t xml:space="preserve"> </w:t>
      </w:r>
      <w:r w:rsidRPr="00E8381D">
        <w:rPr>
          <w:bCs w:val="0"/>
        </w:rPr>
        <w:t xml:space="preserve">Great Plains </w:t>
      </w:r>
      <w:proofErr w:type="spellStart"/>
      <w:r w:rsidRPr="00E8381D">
        <w:rPr>
          <w:bCs w:val="0"/>
        </w:rPr>
        <w:t>IDeA</w:t>
      </w:r>
      <w:proofErr w:type="spellEnd"/>
      <w:r w:rsidRPr="00E8381D">
        <w:rPr>
          <w:bCs w:val="0"/>
        </w:rPr>
        <w:t>-CTR (U54GM115458) pilot award, and a</w:t>
      </w:r>
      <w:r w:rsidR="009B1523">
        <w:rPr>
          <w:bCs w:val="0"/>
        </w:rPr>
        <w:t xml:space="preserve"> </w:t>
      </w:r>
      <w:r w:rsidRPr="00E8381D">
        <w:rPr>
          <w:bCs w:val="0"/>
        </w:rPr>
        <w:t>University of Nebraska Systems Science Team Building Award.</w:t>
      </w:r>
      <w:r w:rsidR="005B5657">
        <w:rPr>
          <w:bCs w:val="0"/>
        </w:rPr>
        <w:t xml:space="preserve"> </w:t>
      </w:r>
      <w:r w:rsidRPr="00E8381D">
        <w:rPr>
          <w:bCs w:val="0"/>
        </w:rPr>
        <w:t xml:space="preserve">Address correspondence to </w:t>
      </w:r>
      <w:r w:rsidR="005B5657">
        <w:rPr>
          <w:bCs w:val="0"/>
        </w:rPr>
        <w:t>Allura L. Ralston</w:t>
      </w:r>
      <w:r w:rsidRPr="00E8381D">
        <w:rPr>
          <w:bCs w:val="0"/>
        </w:rPr>
        <w:t>, 238 Burnett Hall,</w:t>
      </w:r>
      <w:r w:rsidR="005B5657">
        <w:rPr>
          <w:bCs w:val="0"/>
        </w:rPr>
        <w:t xml:space="preserve"> </w:t>
      </w:r>
      <w:r w:rsidRPr="00E8381D">
        <w:rPr>
          <w:bCs w:val="0"/>
        </w:rPr>
        <w:t>University of Nebraska-Lincoln, Lincoln, NE, 68588-0308; e-mail:</w:t>
      </w:r>
      <w:r w:rsidR="005B5657">
        <w:rPr>
          <w:bCs w:val="0"/>
        </w:rPr>
        <w:t xml:space="preserve"> allura.ralston</w:t>
      </w:r>
      <w:r w:rsidRPr="00E8381D">
        <w:rPr>
          <w:bCs w:val="0"/>
        </w:rPr>
        <w:t>@gmail.com</w:t>
      </w:r>
    </w:p>
    <w:p w14:paraId="246E3DE0" w14:textId="77777777" w:rsidR="00E8381D" w:rsidRDefault="00E8381D" w:rsidP="00AF1662">
      <w:pPr>
        <w:spacing w:line="480" w:lineRule="auto"/>
        <w:jc w:val="center"/>
        <w:rPr>
          <w:bCs w:val="0"/>
        </w:rPr>
      </w:pPr>
    </w:p>
    <w:p w14:paraId="662763E0" w14:textId="77777777" w:rsidR="00C81ED5" w:rsidRDefault="00C81ED5" w:rsidP="00AF1662">
      <w:pPr>
        <w:spacing w:line="480" w:lineRule="auto"/>
        <w:jc w:val="center"/>
        <w:rPr>
          <w:bCs w:val="0"/>
        </w:rPr>
      </w:pPr>
    </w:p>
    <w:p w14:paraId="33EF92F6" w14:textId="1CCC56B7" w:rsidR="00AF1662" w:rsidRPr="008900A2" w:rsidRDefault="00AF1662" w:rsidP="00AF1662">
      <w:pPr>
        <w:spacing w:line="480" w:lineRule="auto"/>
        <w:jc w:val="center"/>
        <w:rPr>
          <w:bCs w:val="0"/>
        </w:rPr>
      </w:pPr>
      <w:r w:rsidRPr="008900A2">
        <w:rPr>
          <w:bCs w:val="0"/>
        </w:rPr>
        <w:lastRenderedPageBreak/>
        <w:t>Abstract</w:t>
      </w:r>
    </w:p>
    <w:p w14:paraId="5D332304" w14:textId="07BAB1A0" w:rsidR="00453ED5" w:rsidRPr="008900A2" w:rsidRDefault="00C72722" w:rsidP="00453ED5">
      <w:pPr>
        <w:spacing w:line="480" w:lineRule="auto"/>
      </w:pPr>
      <w:r w:rsidRPr="008900A2">
        <w:t xml:space="preserve">Background: Transgender and gender diverse (TGD) individuals face high rates of psychological distress, including depression, anxiety, and suicide risk. </w:t>
      </w:r>
      <w:r w:rsidR="002E10DA">
        <w:t>Further</w:t>
      </w:r>
      <w:r w:rsidRPr="008900A2">
        <w:t>, TGD individuals living outside of urban areas experience additional disparities compared to their urban counterparts. Minority stress theory states that minority stressors (termed marginalization stressors for this paper), such as experiences of discrimination and internalized transphobia, lead to psychological distress. The current study compared marginalization stressors across rural (population less than 2,500), urban cluster (population between 2,500 and 50,000), and urban (population greater than 50,000) samples and tested the degree to which these stressors account for differences across areas of residence. Methods: Participants were 22</w:t>
      </w:r>
      <w:r w:rsidR="008252BC" w:rsidRPr="008900A2">
        <w:t xml:space="preserve">5 </w:t>
      </w:r>
      <w:r w:rsidRPr="008900A2">
        <w:t>TGD individuals who completed an online survey that included measures of depression,</w:t>
      </w:r>
      <w:r w:rsidR="001149E8" w:rsidRPr="008900A2">
        <w:t xml:space="preserve"> anxiety, suicidal ide</w:t>
      </w:r>
      <w:r w:rsidR="00F1462F" w:rsidRPr="008900A2">
        <w:t xml:space="preserve">ation </w:t>
      </w:r>
      <w:r w:rsidRPr="008900A2">
        <w:t>marginalization stress</w:t>
      </w:r>
      <w:r w:rsidR="001149E8" w:rsidRPr="008900A2">
        <w:t>, and protective factor</w:t>
      </w:r>
      <w:r w:rsidRPr="008900A2">
        <w:t>s. Results: In the first model, mental health outcomes</w:t>
      </w:r>
      <w:r w:rsidR="008252BC" w:rsidRPr="008900A2">
        <w:t>, marginalization stressors, and protective factors</w:t>
      </w:r>
      <w:r w:rsidRPr="008900A2">
        <w:t xml:space="preserve"> differed between areas</w:t>
      </w:r>
      <w:r w:rsidR="00387A0D" w:rsidRPr="008900A2">
        <w:t>.</w:t>
      </w:r>
      <w:r w:rsidRPr="008900A2">
        <w:t xml:space="preserve"> </w:t>
      </w:r>
      <w:r w:rsidR="00387A0D" w:rsidRPr="008900A2">
        <w:t>U</w:t>
      </w:r>
      <w:r w:rsidRPr="008900A2">
        <w:rPr>
          <w:rFonts w:eastAsia="Times New Roman"/>
          <w:bCs w:val="0"/>
        </w:rPr>
        <w:t>rban cluster participants reported experiencing higher levels of depression</w:t>
      </w:r>
      <w:r w:rsidR="00B9495E" w:rsidRPr="008900A2">
        <w:rPr>
          <w:rFonts w:eastAsia="Times New Roman"/>
          <w:bCs w:val="0"/>
        </w:rPr>
        <w:t>, anxiety, and suicidal ideation</w:t>
      </w:r>
      <w:r w:rsidRPr="008900A2">
        <w:rPr>
          <w:rFonts w:eastAsia="Times New Roman"/>
          <w:bCs w:val="0"/>
        </w:rPr>
        <w:t xml:space="preserve"> </w:t>
      </w:r>
      <w:r w:rsidR="00833122" w:rsidRPr="008900A2">
        <w:rPr>
          <w:rFonts w:eastAsia="Times New Roman"/>
          <w:bCs w:val="0"/>
        </w:rPr>
        <w:t>and rural participants reported experiencing higher levels of depression</w:t>
      </w:r>
      <w:r w:rsidR="00642D15">
        <w:rPr>
          <w:rFonts w:eastAsia="Times New Roman"/>
          <w:bCs w:val="0"/>
        </w:rPr>
        <w:t xml:space="preserve"> suicidal ideation</w:t>
      </w:r>
      <w:r w:rsidR="00833122" w:rsidRPr="008900A2">
        <w:rPr>
          <w:rFonts w:eastAsia="Times New Roman"/>
          <w:bCs w:val="0"/>
        </w:rPr>
        <w:t xml:space="preserve"> </w:t>
      </w:r>
      <w:r w:rsidRPr="008900A2">
        <w:rPr>
          <w:rFonts w:eastAsia="Times New Roman"/>
          <w:bCs w:val="0"/>
        </w:rPr>
        <w:t xml:space="preserve">than urban participants. </w:t>
      </w:r>
      <w:r w:rsidR="00833122" w:rsidRPr="008900A2">
        <w:rPr>
          <w:rFonts w:eastAsia="Times New Roman"/>
          <w:bCs w:val="0"/>
        </w:rPr>
        <w:t xml:space="preserve">Both rural and urban cluster participants reported more experiences of several marginalization stressors. </w:t>
      </w:r>
      <w:r w:rsidRPr="008900A2">
        <w:t>In the subsequent path model, indirect effects between area and marginalization stress variables were significant, but urban cluster participants still reported higher depression</w:t>
      </w:r>
      <w:r w:rsidR="00DB6FF3" w:rsidRPr="008900A2">
        <w:t xml:space="preserve">, </w:t>
      </w:r>
      <w:r w:rsidRPr="008900A2">
        <w:t>anxiety</w:t>
      </w:r>
      <w:r w:rsidR="00DB6FF3" w:rsidRPr="008900A2">
        <w:t>, and suicidal ideation</w:t>
      </w:r>
      <w:r w:rsidRPr="008900A2">
        <w:t xml:space="preserve"> symptoms (</w:t>
      </w:r>
      <w:r w:rsidRPr="008900A2">
        <w:rPr>
          <w:i/>
          <w:iCs/>
        </w:rPr>
        <w:t>p</w:t>
      </w:r>
      <w:r w:rsidRPr="008900A2">
        <w:t>-values &lt; .05). Discussion: We demonstrate that marginalization stress processes appear to account for some of the differences between TGD individuals living in urban</w:t>
      </w:r>
      <w:r w:rsidR="00DB6FF3" w:rsidRPr="008900A2">
        <w:t xml:space="preserve">, rural, and </w:t>
      </w:r>
      <w:r w:rsidRPr="008900A2">
        <w:t>urban cluster areas. The differences between areas largely persist, however, after controlling for marginalization stress, especially when comparing urban with urban cluster areas.</w:t>
      </w:r>
    </w:p>
    <w:p w14:paraId="0E18B9DB" w14:textId="04C4E167" w:rsidR="00453ED5" w:rsidRPr="008900A2" w:rsidRDefault="00AF1662" w:rsidP="00453ED5">
      <w:pPr>
        <w:spacing w:line="480" w:lineRule="auto"/>
      </w:pPr>
      <w:r w:rsidRPr="008900A2">
        <w:rPr>
          <w:i/>
        </w:rPr>
        <w:t xml:space="preserve">Keywords: </w:t>
      </w:r>
      <w:r w:rsidR="00ED68FF" w:rsidRPr="008900A2">
        <w:t xml:space="preserve">transgender and gender </w:t>
      </w:r>
      <w:r w:rsidR="00A333FF" w:rsidRPr="008900A2">
        <w:t>diverse</w:t>
      </w:r>
      <w:r w:rsidR="00ED68FF" w:rsidRPr="008900A2">
        <w:t>, mental health, minority stress</w:t>
      </w:r>
      <w:r w:rsidR="00B2301D" w:rsidRPr="008900A2">
        <w:t>, marginalization</w:t>
      </w:r>
      <w:r w:rsidR="00974FF4" w:rsidRPr="008900A2">
        <w:t xml:space="preserve">, </w:t>
      </w:r>
      <w:r w:rsidR="001516EF" w:rsidRPr="008900A2">
        <w:t xml:space="preserve">transgender, </w:t>
      </w:r>
      <w:r w:rsidR="00974FF4" w:rsidRPr="008900A2">
        <w:t>gender minorities</w:t>
      </w:r>
      <w:r w:rsidR="0045154F" w:rsidRPr="008900A2">
        <w:t>,</w:t>
      </w:r>
      <w:r w:rsidR="00F1462F" w:rsidRPr="008900A2">
        <w:t xml:space="preserve"> </w:t>
      </w:r>
      <w:r w:rsidR="0045154F" w:rsidRPr="008900A2">
        <w:t>rural, urban, urban cluster</w:t>
      </w:r>
    </w:p>
    <w:p w14:paraId="0D3B32AB" w14:textId="77777777" w:rsidR="00E455D3" w:rsidRDefault="00E455D3" w:rsidP="00453ED5">
      <w:pPr>
        <w:ind w:left="2160" w:firstLine="720"/>
      </w:pPr>
    </w:p>
    <w:p w14:paraId="1A37E0EA" w14:textId="610B6554" w:rsidR="00F92A62" w:rsidRPr="008900A2" w:rsidRDefault="00F92A62" w:rsidP="00453ED5">
      <w:pPr>
        <w:ind w:left="2160" w:firstLine="720"/>
      </w:pPr>
      <w:r w:rsidRPr="008900A2">
        <w:t>Public Significance Statement</w:t>
      </w:r>
    </w:p>
    <w:p w14:paraId="4606C61E" w14:textId="707A2E25" w:rsidR="000C13B8" w:rsidRPr="008900A2" w:rsidRDefault="000C13B8" w:rsidP="000C13B8">
      <w:pPr>
        <w:spacing w:line="480" w:lineRule="auto"/>
      </w:pPr>
      <w:r w:rsidRPr="008900A2">
        <w:tab/>
        <w:t>The results of this study demonstrate there are differences in experiences of marginalization stress, anxiety, depression, and suicidal ideation in transgender and gender diverse adults living in rural, urban cluster, and urban areas. These findings have important implications in understanding the unique ways in which area of residence influence</w:t>
      </w:r>
      <w:r w:rsidR="007B66DE" w:rsidRPr="008900A2">
        <w:t>s</w:t>
      </w:r>
      <w:r w:rsidRPr="008900A2">
        <w:t xml:space="preserve"> experiences of marginalization stress and negative mental health outcomes and suggest clinicians should consider these factors in case conceptualization, assessment, and treatment of anxiety and depression. </w:t>
      </w:r>
    </w:p>
    <w:p w14:paraId="0584537A" w14:textId="65098B54" w:rsidR="00F92A62" w:rsidRPr="008900A2" w:rsidRDefault="00F92A62" w:rsidP="00F92A62">
      <w:pPr>
        <w:rPr>
          <w:color w:val="000000"/>
          <w:shd w:val="clear" w:color="auto" w:fill="FAFAFA"/>
        </w:rPr>
      </w:pPr>
      <w:r w:rsidRPr="008900A2">
        <w:rPr>
          <w:color w:val="000000"/>
          <w:shd w:val="clear" w:color="auto" w:fill="FAFAFA"/>
        </w:rPr>
        <w:br w:type="page"/>
      </w:r>
    </w:p>
    <w:p w14:paraId="2C2B2434" w14:textId="56136C57" w:rsidR="006F689C" w:rsidRPr="008900A2" w:rsidRDefault="006F689C" w:rsidP="006F689C">
      <w:pPr>
        <w:spacing w:after="0" w:line="480" w:lineRule="auto"/>
        <w:jc w:val="center"/>
      </w:pPr>
      <w:r w:rsidRPr="008900A2">
        <w:t>Mental Health and Marginalization Stress in Transgender and Gender Diverse Adults: Differences between Urban and Non-Urban Experiences</w:t>
      </w:r>
    </w:p>
    <w:p w14:paraId="3B8718A9" w14:textId="69B39DCF" w:rsidR="0034583A" w:rsidRPr="008900A2" w:rsidRDefault="00612F60" w:rsidP="0023008C">
      <w:pPr>
        <w:spacing w:after="0" w:line="480" w:lineRule="auto"/>
      </w:pPr>
      <w:r w:rsidRPr="008900A2">
        <w:tab/>
      </w:r>
      <w:r w:rsidR="00B72E4F" w:rsidRPr="008900A2">
        <w:t xml:space="preserve">In the past few years, </w:t>
      </w:r>
      <w:proofErr w:type="gramStart"/>
      <w:r w:rsidR="00B72E4F" w:rsidRPr="008900A2">
        <w:t>t</w:t>
      </w:r>
      <w:r w:rsidRPr="008900A2">
        <w:t>ransgender</w:t>
      </w:r>
      <w:proofErr w:type="gramEnd"/>
      <w:r w:rsidRPr="008900A2">
        <w:t xml:space="preserve"> and gender diverse (TGD)</w:t>
      </w:r>
      <w:r w:rsidRPr="008900A2">
        <w:rPr>
          <w:rStyle w:val="FootnoteReference"/>
        </w:rPr>
        <w:footnoteReference w:id="2"/>
      </w:r>
      <w:r w:rsidRPr="008900A2">
        <w:t xml:space="preserve"> communities</w:t>
      </w:r>
      <w:r w:rsidR="00B72E4F" w:rsidRPr="008900A2">
        <w:t xml:space="preserve"> have been </w:t>
      </w:r>
      <w:r w:rsidR="002E10DA">
        <w:t>a</w:t>
      </w:r>
      <w:r w:rsidR="002E10DA" w:rsidRPr="008900A2">
        <w:t xml:space="preserve"> </w:t>
      </w:r>
      <w:r w:rsidR="00B72E4F" w:rsidRPr="008900A2">
        <w:t xml:space="preserve">focus of media outlets, research studies, and social justice initiatives, shedding light on the unique experiences of these communities including </w:t>
      </w:r>
      <w:r w:rsidR="00974FF4" w:rsidRPr="008900A2">
        <w:t>that</w:t>
      </w:r>
      <w:r w:rsidR="00B72E4F" w:rsidRPr="008900A2">
        <w:t xml:space="preserve"> of marginalization stress</w:t>
      </w:r>
      <w:r w:rsidR="009D38D6" w:rsidRPr="008900A2">
        <w:t>.</w:t>
      </w:r>
      <w:r w:rsidR="00B72E4F" w:rsidRPr="008900A2">
        <w:t xml:space="preserve"> Due to increased marginalization stress, TGD communities experience s</w:t>
      </w:r>
      <w:r w:rsidRPr="008900A2">
        <w:t xml:space="preserve">uicide, depression, </w:t>
      </w:r>
      <w:r w:rsidR="00124AB6" w:rsidRPr="008900A2">
        <w:t xml:space="preserve">and </w:t>
      </w:r>
      <w:r w:rsidRPr="008900A2">
        <w:t>anxiety</w:t>
      </w:r>
      <w:r w:rsidR="009D105C" w:rsidRPr="008900A2">
        <w:t xml:space="preserve"> </w:t>
      </w:r>
      <w:r w:rsidRPr="008900A2">
        <w:t xml:space="preserve">at disparate rates compared to their cisgender (Valdiserri </w:t>
      </w:r>
      <w:r w:rsidR="000D6C6A" w:rsidRPr="008900A2">
        <w:t>et al.,</w:t>
      </w:r>
      <w:r w:rsidRPr="008900A2">
        <w:t xml:space="preserve"> 2018)</w:t>
      </w:r>
      <w:r w:rsidR="0034583A" w:rsidRPr="008900A2">
        <w:t xml:space="preserve"> and lesbian, gay, and bisexual (LGB) counterparts (</w:t>
      </w:r>
      <w:proofErr w:type="spellStart"/>
      <w:r w:rsidR="00B72E4F" w:rsidRPr="008900A2">
        <w:t>Borgogna</w:t>
      </w:r>
      <w:proofErr w:type="spellEnd"/>
      <w:r w:rsidR="000D6C6A" w:rsidRPr="008900A2">
        <w:t xml:space="preserve"> et al.</w:t>
      </w:r>
      <w:r w:rsidR="00B72E4F" w:rsidRPr="008900A2">
        <w:t xml:space="preserve">, 2018; </w:t>
      </w:r>
      <w:r w:rsidR="009C669A" w:rsidRPr="008900A2">
        <w:t>Mathy, 2002b</w:t>
      </w:r>
      <w:r w:rsidR="0034583A" w:rsidRPr="008900A2">
        <w:t>)</w:t>
      </w:r>
      <w:r w:rsidRPr="008900A2">
        <w:t xml:space="preserve">. Lifetime rates of depression in TGD communities are high (44%-50%; Bockting </w:t>
      </w:r>
      <w:r w:rsidR="000D6C6A" w:rsidRPr="008900A2">
        <w:t>et al.,</w:t>
      </w:r>
      <w:r w:rsidRPr="008900A2">
        <w:t xml:space="preserve"> 2013; Nuttbrock et al., 2010) and 44% have reported attempting suicide compared to 5% of the general population (Miller &amp; Grollman, 2015; Nock et al., 2008).</w:t>
      </w:r>
      <w:r w:rsidR="002D0CF5" w:rsidRPr="008900A2">
        <w:t xml:space="preserve"> Prevalence rates of anxiety are also </w:t>
      </w:r>
      <w:r w:rsidR="00472EB2" w:rsidRPr="008900A2">
        <w:t xml:space="preserve">elevated </w:t>
      </w:r>
      <w:r w:rsidR="002D0CF5" w:rsidRPr="008900A2">
        <w:t xml:space="preserve">with some studies showing </w:t>
      </w:r>
      <w:r w:rsidR="00D7462E" w:rsidRPr="008900A2">
        <w:t xml:space="preserve">point </w:t>
      </w:r>
      <w:r w:rsidR="002D0CF5" w:rsidRPr="008900A2">
        <w:t xml:space="preserve">prevalence </w:t>
      </w:r>
      <w:r w:rsidR="00D7462E" w:rsidRPr="008900A2">
        <w:t>(</w:t>
      </w:r>
      <w:r w:rsidR="00B92ECA" w:rsidRPr="008900A2">
        <w:t>e.g., last</w:t>
      </w:r>
      <w:r w:rsidR="00D7462E" w:rsidRPr="008900A2">
        <w:t xml:space="preserve"> 7 days) </w:t>
      </w:r>
      <w:r w:rsidR="002D0CF5" w:rsidRPr="008900A2">
        <w:t xml:space="preserve">rates of anxiety ranging from 33.2% to 47.5% (Bockting et al., 2013; Budge </w:t>
      </w:r>
      <w:r w:rsidR="000D6C6A" w:rsidRPr="008900A2">
        <w:t>et al.,</w:t>
      </w:r>
      <w:r w:rsidR="002D0CF5" w:rsidRPr="008900A2">
        <w:t xml:space="preserve"> 2013)</w:t>
      </w:r>
      <w:r w:rsidR="00974FF4" w:rsidRPr="008900A2">
        <w:t xml:space="preserve"> and over half of TGD people in other research report moderate to severe levels of anxiety and depression (</w:t>
      </w:r>
      <w:r w:rsidR="00820DD6" w:rsidRPr="008900A2">
        <w:t>Puckett et al.,</w:t>
      </w:r>
      <w:r w:rsidR="00974FF4" w:rsidRPr="008900A2">
        <w:t xml:space="preserve"> 2019)</w:t>
      </w:r>
      <w:r w:rsidR="002D0CF5" w:rsidRPr="008900A2">
        <w:t>.</w:t>
      </w:r>
      <w:r w:rsidR="00CB3F1B" w:rsidRPr="008900A2">
        <w:t xml:space="preserve"> Despite these high disparities, many TGD people live healthy fulfilling lives, especially if they </w:t>
      </w:r>
      <w:proofErr w:type="gramStart"/>
      <w:r w:rsidR="00CB3F1B" w:rsidRPr="008900A2">
        <w:t>are able to</w:t>
      </w:r>
      <w:proofErr w:type="gramEnd"/>
      <w:r w:rsidR="00CB3F1B" w:rsidRPr="008900A2">
        <w:t xml:space="preserve"> access gender</w:t>
      </w:r>
      <w:r w:rsidR="00DD3775">
        <w:t>-</w:t>
      </w:r>
      <w:r w:rsidR="00CB3F1B" w:rsidRPr="008900A2">
        <w:t xml:space="preserve"> </w:t>
      </w:r>
      <w:r w:rsidR="00974FF4" w:rsidRPr="008900A2">
        <w:t xml:space="preserve">affirming medical </w:t>
      </w:r>
      <w:r w:rsidR="00CB3F1B" w:rsidRPr="008900A2">
        <w:t>care</w:t>
      </w:r>
      <w:r w:rsidR="00974FF4" w:rsidRPr="008900A2">
        <w:t>, if this is part of their gender affirmation</w:t>
      </w:r>
      <w:r w:rsidR="00CB3F1B" w:rsidRPr="008900A2">
        <w:t xml:space="preserve"> (</w:t>
      </w:r>
      <w:proofErr w:type="spellStart"/>
      <w:r w:rsidR="001C5712" w:rsidRPr="008900A2">
        <w:rPr>
          <w:color w:val="222222"/>
          <w:shd w:val="clear" w:color="auto" w:fill="FFFFFF"/>
        </w:rPr>
        <w:t>Bränström</w:t>
      </w:r>
      <w:proofErr w:type="spellEnd"/>
      <w:r w:rsidR="001C5712" w:rsidRPr="008900A2">
        <w:rPr>
          <w:color w:val="222222"/>
          <w:shd w:val="clear" w:color="auto" w:fill="FFFFFF"/>
        </w:rPr>
        <w:t xml:space="preserve"> &amp; </w:t>
      </w:r>
      <w:proofErr w:type="spellStart"/>
      <w:r w:rsidR="001C5712" w:rsidRPr="008900A2">
        <w:rPr>
          <w:color w:val="222222"/>
          <w:shd w:val="clear" w:color="auto" w:fill="FFFFFF"/>
        </w:rPr>
        <w:t>Pachankis</w:t>
      </w:r>
      <w:proofErr w:type="spellEnd"/>
      <w:r w:rsidR="001C5712" w:rsidRPr="008900A2">
        <w:rPr>
          <w:color w:val="222222"/>
          <w:shd w:val="clear" w:color="auto" w:fill="FFFFFF"/>
        </w:rPr>
        <w:t>, 2020)</w:t>
      </w:r>
      <w:r w:rsidR="00CB3F1B" w:rsidRPr="008900A2">
        <w:t>.</w:t>
      </w:r>
    </w:p>
    <w:p w14:paraId="6CA82CF9" w14:textId="57006750" w:rsidR="007F22E6" w:rsidRPr="008900A2" w:rsidRDefault="00360E68" w:rsidP="002D0CF5">
      <w:pPr>
        <w:spacing w:after="0" w:line="480" w:lineRule="auto"/>
      </w:pPr>
      <w:r w:rsidRPr="008900A2">
        <w:tab/>
      </w:r>
      <w:r w:rsidR="0034583A" w:rsidRPr="008900A2">
        <w:t xml:space="preserve">The </w:t>
      </w:r>
      <w:r w:rsidR="002D0CF5" w:rsidRPr="008900A2">
        <w:t>best explanation for heightened psychological distress among TGD communities is Meyer’s minority stress model</w:t>
      </w:r>
      <w:r w:rsidR="00CB3F1B" w:rsidRPr="008900A2">
        <w:t>, adapted by Hendricks and Testa (2012)</w:t>
      </w:r>
      <w:r w:rsidR="002D0CF5" w:rsidRPr="008900A2">
        <w:t>. Minority stress was</w:t>
      </w:r>
      <w:r w:rsidR="00C95752" w:rsidRPr="008900A2">
        <w:t xml:space="preserve"> </w:t>
      </w:r>
      <w:r w:rsidR="002D0CF5" w:rsidRPr="008900A2">
        <w:t xml:space="preserve">outlined by </w:t>
      </w:r>
      <w:r w:rsidR="0045154F" w:rsidRPr="008900A2">
        <w:t xml:space="preserve">Brooks (1981) and </w:t>
      </w:r>
      <w:r w:rsidR="002D0CF5" w:rsidRPr="008900A2">
        <w:t xml:space="preserve">Meyer (2003) to refer to the additional stress experienced by members of a marginalized group due stigma and discrimination associated with group membership. It was initially used to identify mechanisms for physical and mental health disparities across gay, lesbian, and bisexual </w:t>
      </w:r>
      <w:r w:rsidR="00CC7850" w:rsidRPr="008900A2">
        <w:t xml:space="preserve">cisgender </w:t>
      </w:r>
      <w:r w:rsidR="002D0CF5" w:rsidRPr="008900A2">
        <w:t xml:space="preserve">communities and has subsequently been applied to numerous other marginalized groups. Here, we use the term marginalization stress </w:t>
      </w:r>
      <w:r w:rsidR="00F02EF9" w:rsidRPr="008900A2">
        <w:t>to</w:t>
      </w:r>
      <w:r w:rsidR="002D0CF5" w:rsidRPr="008900A2">
        <w:t xml:space="preserve"> better center the stressful experience on the marginalization factors perpetrated on minority or other marginalized group members</w:t>
      </w:r>
      <w:r w:rsidR="00CC7850" w:rsidRPr="008900A2">
        <w:t xml:space="preserve"> rather than their identities as minorities</w:t>
      </w:r>
      <w:r w:rsidR="002D0CF5" w:rsidRPr="008900A2">
        <w:t>. This terminology also comports with the expressed interests of community groups who have been vital in the development of the current research.</w:t>
      </w:r>
      <w:r w:rsidR="002D0CF5" w:rsidRPr="008900A2">
        <w:rPr>
          <w:rStyle w:val="FootnoteReference"/>
          <w:i/>
        </w:rPr>
        <w:t xml:space="preserve"> </w:t>
      </w:r>
      <w:r w:rsidR="002D0CF5" w:rsidRPr="008900A2">
        <w:t>Meyer’s model conceptualizes marginalization stress occurring through distal and proximal stressors. Hendricks and Testa (2012) expanded the Meyer model to the unique stressors, such as misgendering, experienced by individuals who identify as TGD. An iteration of this model was eventually named the gender minority stress and resilience (GMSR) model (Testa</w:t>
      </w:r>
      <w:r w:rsidR="00820DD6" w:rsidRPr="008900A2">
        <w:t xml:space="preserve"> et al., </w:t>
      </w:r>
      <w:r w:rsidR="002D0CF5" w:rsidRPr="008900A2">
        <w:t>2015).</w:t>
      </w:r>
    </w:p>
    <w:p w14:paraId="339EF590" w14:textId="453BFE01" w:rsidR="002D0CF5" w:rsidRPr="008900A2" w:rsidRDefault="007F22E6" w:rsidP="002D0CF5">
      <w:pPr>
        <w:spacing w:after="0" w:line="480" w:lineRule="auto"/>
      </w:pPr>
      <w:r w:rsidRPr="008900A2">
        <w:tab/>
        <w:t xml:space="preserve">Distal stressors are external stressful events, such as harassment and victimization. </w:t>
      </w:r>
      <w:r w:rsidR="005B05EF" w:rsidRPr="008900A2">
        <w:t>Specifically, e</w:t>
      </w:r>
      <w:r w:rsidR="002D0CF5" w:rsidRPr="008900A2">
        <w:t xml:space="preserve">xamples of distal stressors TGD individuals are likely to experience include discrimination and rejection surrounding their gender identity. The range of discriminatory and stigmatizing experiences of TGD individuals are varied, but relative to </w:t>
      </w:r>
      <w:r w:rsidR="00613044" w:rsidRPr="008900A2">
        <w:t xml:space="preserve">their </w:t>
      </w:r>
      <w:r w:rsidR="002D0CF5" w:rsidRPr="008900A2">
        <w:t xml:space="preserve">cisgender counterparts they include: greater physical and sexual violence victimization with perpetrators frequently explicitly referencing gender identity as a motivation (Bradford </w:t>
      </w:r>
      <w:r w:rsidR="00820DD6" w:rsidRPr="008900A2">
        <w:t>et al.,</w:t>
      </w:r>
      <w:r w:rsidR="002D0CF5" w:rsidRPr="008900A2">
        <w:t xml:space="preserve"> 2012; Grant et al., 2010; </w:t>
      </w:r>
      <w:proofErr w:type="spellStart"/>
      <w:r w:rsidR="002D0CF5" w:rsidRPr="008900A2">
        <w:t>Nutbrock</w:t>
      </w:r>
      <w:proofErr w:type="spellEnd"/>
      <w:r w:rsidR="002D0CF5" w:rsidRPr="008900A2">
        <w:t xml:space="preserve"> et al., 2010); more frequent denial and/or loss of employment (Budge</w:t>
      </w:r>
      <w:r w:rsidR="00820DD6" w:rsidRPr="008900A2">
        <w:t xml:space="preserve"> et al.</w:t>
      </w:r>
      <w:r w:rsidR="002D0CF5" w:rsidRPr="008900A2">
        <w:t>, 2010; Grant et al., 2010); harassment due to their gender identity/gender identity expression (Clements-Nolle</w:t>
      </w:r>
      <w:r w:rsidR="00820DD6" w:rsidRPr="008900A2">
        <w:t xml:space="preserve"> et al., </w:t>
      </w:r>
      <w:r w:rsidR="002D0CF5" w:rsidRPr="008900A2">
        <w:t xml:space="preserve">2006; Grant et al., 2010); greater fear of accessing public restrooms (Gleason et al., 2016; </w:t>
      </w:r>
      <w:proofErr w:type="spellStart"/>
      <w:r w:rsidR="002D0CF5" w:rsidRPr="008900A2">
        <w:t>Scheim</w:t>
      </w:r>
      <w:proofErr w:type="spellEnd"/>
      <w:r w:rsidR="00820DD6" w:rsidRPr="008900A2">
        <w:t xml:space="preserve"> et al.</w:t>
      </w:r>
      <w:r w:rsidR="002D0CF5" w:rsidRPr="008900A2">
        <w:t>, 2014); higher rates of homelessness (Gleason et al., 2016); denial of healthcare and mental health services, including explicit denials based on gender identity (Bauer, 2012; Bauer</w:t>
      </w:r>
      <w:r w:rsidR="00820DD6" w:rsidRPr="008900A2">
        <w:t xml:space="preserve"> et al.</w:t>
      </w:r>
      <w:r w:rsidR="002D0CF5" w:rsidRPr="008900A2">
        <w:t>, 2014; Bradford, et al., 2012; Grant et al., 2010); and encounter</w:t>
      </w:r>
      <w:r w:rsidR="00613044" w:rsidRPr="008900A2">
        <w:t>ing</w:t>
      </w:r>
      <w:r w:rsidR="002D0CF5" w:rsidRPr="008900A2">
        <w:t xml:space="preserve"> services that are not affirming of their gender (Grant et al., 2010; </w:t>
      </w:r>
      <w:r w:rsidR="00853A79">
        <w:t xml:space="preserve">Holt et al., </w:t>
      </w:r>
      <w:r w:rsidR="000A2D47">
        <w:t>2018</w:t>
      </w:r>
      <w:r w:rsidR="002D0CF5" w:rsidRPr="008900A2">
        <w:t xml:space="preserve">). </w:t>
      </w:r>
      <w:r w:rsidR="00613044" w:rsidRPr="008900A2">
        <w:t>These experiences are commonplace for TGD people, with as many as 3 out of 4 TGD people reporting some form of discrimination over the past year (Puckett</w:t>
      </w:r>
      <w:r w:rsidR="00820DD6" w:rsidRPr="008900A2">
        <w:t xml:space="preserve"> et al.</w:t>
      </w:r>
      <w:r w:rsidR="00613044" w:rsidRPr="008900A2">
        <w:t>, 20</w:t>
      </w:r>
      <w:r w:rsidR="000D13D5" w:rsidRPr="008900A2">
        <w:t>20</w:t>
      </w:r>
      <w:r w:rsidR="00613044" w:rsidRPr="008900A2">
        <w:t xml:space="preserve">). </w:t>
      </w:r>
      <w:proofErr w:type="gramStart"/>
      <w:r w:rsidR="00270D21" w:rsidRPr="008900A2">
        <w:t>For the purpose of</w:t>
      </w:r>
      <w:proofErr w:type="gramEnd"/>
      <w:r w:rsidR="00270D21" w:rsidRPr="008900A2">
        <w:t xml:space="preserve"> this paper, distal stressors will be referred to as distal marginalization stressors. </w:t>
      </w:r>
    </w:p>
    <w:p w14:paraId="11FF7385" w14:textId="2F3CF9ED" w:rsidR="002D0CF5" w:rsidRPr="008900A2" w:rsidRDefault="002D0CF5" w:rsidP="00D7462E">
      <w:pPr>
        <w:spacing w:after="0" w:line="480" w:lineRule="auto"/>
      </w:pPr>
      <w:r w:rsidRPr="008900A2">
        <w:rPr>
          <w:b/>
        </w:rPr>
        <w:tab/>
      </w:r>
      <w:r w:rsidR="007F22E6" w:rsidRPr="008900A2">
        <w:rPr>
          <w:bCs w:val="0"/>
        </w:rPr>
        <w:t xml:space="preserve">Unlike distal stressors, </w:t>
      </w:r>
      <w:r w:rsidR="007F22E6" w:rsidRPr="008900A2">
        <w:t>proximal stressors include internalized processes such as internalized stigma, expectations of rejection, and identity concealment. Specific, p</w:t>
      </w:r>
      <w:r w:rsidRPr="008900A2">
        <w:rPr>
          <w:bCs w:val="0"/>
        </w:rPr>
        <w:t>roximal</w:t>
      </w:r>
      <w:r w:rsidRPr="008900A2">
        <w:t xml:space="preserve"> stressors that TGD individuals are likely to experience include concealment of their gender identity</w:t>
      </w:r>
      <w:r w:rsidR="002D03E1" w:rsidRPr="008900A2">
        <w:t>, gender expression, or</w:t>
      </w:r>
      <w:r w:rsidRPr="008900A2">
        <w:t xml:space="preserve"> </w:t>
      </w:r>
      <w:r w:rsidR="002D03E1" w:rsidRPr="008900A2">
        <w:t>transition history</w:t>
      </w:r>
      <w:r w:rsidRPr="008900A2">
        <w:t>, often to avoid harassment and intimidation, and internalized transphobia (Hendricks &amp; Testa, 2012; Testa</w:t>
      </w:r>
      <w:r w:rsidR="00820DD6" w:rsidRPr="008900A2">
        <w:t xml:space="preserve"> et al.</w:t>
      </w:r>
      <w:r w:rsidRPr="008900A2">
        <w:t xml:space="preserve">, 2015). Internalized transphobia is a process wherein a TGD individual </w:t>
      </w:r>
      <w:r w:rsidR="002D03E1" w:rsidRPr="008900A2">
        <w:t xml:space="preserve">integrates </w:t>
      </w:r>
      <w:r w:rsidRPr="008900A2">
        <w:t xml:space="preserve">negative beliefs about their gender identity </w:t>
      </w:r>
      <w:r w:rsidR="002D03E1" w:rsidRPr="008900A2">
        <w:t>into their own self-views, as a product of social stigma</w:t>
      </w:r>
      <w:r w:rsidRPr="008900A2">
        <w:t>, often leading to self-blame and low self-esteem</w:t>
      </w:r>
      <w:r w:rsidR="00DE65E3" w:rsidRPr="008900A2" w:rsidDel="00DE65E3">
        <w:t xml:space="preserve"> </w:t>
      </w:r>
      <w:r w:rsidRPr="008900A2">
        <w:t xml:space="preserve">(Hendricks &amp; Testa, 2012; </w:t>
      </w:r>
      <w:r w:rsidR="002D03E1" w:rsidRPr="008900A2">
        <w:t>Rood</w:t>
      </w:r>
      <w:r w:rsidR="00820DD6" w:rsidRPr="008900A2">
        <w:t xml:space="preserve"> et al.</w:t>
      </w:r>
      <w:r w:rsidR="002D03E1" w:rsidRPr="008900A2">
        <w:t xml:space="preserve">, 2017; </w:t>
      </w:r>
      <w:r w:rsidRPr="008900A2">
        <w:t xml:space="preserve">Testa et al., 2015). Both processes have been shown to increase TGD individual’s risk for mental health problems including anxiety, depression, and suicide risk (Bockting et al., 2013; Tebbe &amp; Moradi, 2016.; Testa et al., 2017). </w:t>
      </w:r>
      <w:r w:rsidR="00472EB2" w:rsidRPr="008900A2">
        <w:t xml:space="preserve">For the purposes of this paper, proximal stressors will be referred to as </w:t>
      </w:r>
      <w:r w:rsidR="002D03E1" w:rsidRPr="008900A2">
        <w:t xml:space="preserve">proximal </w:t>
      </w:r>
      <w:r w:rsidR="00472EB2" w:rsidRPr="008900A2">
        <w:t xml:space="preserve">marginalization stressors. </w:t>
      </w:r>
      <w:r w:rsidRPr="008900A2">
        <w:tab/>
        <w:t xml:space="preserve"> </w:t>
      </w:r>
    </w:p>
    <w:p w14:paraId="3C2D32B8" w14:textId="2CF7B15B" w:rsidR="0023008C" w:rsidRPr="008900A2" w:rsidRDefault="002D0CF5" w:rsidP="009370AF">
      <w:pPr>
        <w:spacing w:after="0" w:line="480" w:lineRule="auto"/>
        <w:ind w:firstLine="720"/>
      </w:pPr>
      <w:r w:rsidRPr="008900A2">
        <w:t>Spurred from Meyer’s model, t</w:t>
      </w:r>
      <w:r w:rsidR="0023008C" w:rsidRPr="008900A2">
        <w:t>here is growing theoretical and empirical work delineating the links between marginalization stress and mental health outcomes, perhaps most notably suicide. Testa and colleagues (2012) have linked gender marginalization stress, resilience, and Joiner’s interpersonal-psychological theory of suicide to understand heightened suicide risk in TGD populations. Both Testa and colleagues’ and Joiner’s models suggest interpersonal factors</w:t>
      </w:r>
      <w:r w:rsidR="008C7E21" w:rsidRPr="008900A2">
        <w:t xml:space="preserve"> (e.g.</w:t>
      </w:r>
      <w:r w:rsidR="001C5712" w:rsidRPr="008900A2">
        <w:t>,</w:t>
      </w:r>
      <w:r w:rsidR="008C7E21" w:rsidRPr="008900A2">
        <w:t xml:space="preserve"> </w:t>
      </w:r>
      <w:r w:rsidR="008C7E21" w:rsidRPr="008900A2">
        <w:rPr>
          <w:color w:val="000000"/>
          <w:shd w:val="clear" w:color="auto" w:fill="FFFFFF"/>
        </w:rPr>
        <w:t>thwarted belongingness and perceived burdensomeness)</w:t>
      </w:r>
      <w:r w:rsidR="0023008C" w:rsidRPr="008900A2">
        <w:t xml:space="preserve"> likely contribute to depression and suicidal ideation and behaviors. Testa and colleagues </w:t>
      </w:r>
      <w:r w:rsidRPr="008900A2">
        <w:t xml:space="preserve">also integrated </w:t>
      </w:r>
      <w:r w:rsidR="0023008C" w:rsidRPr="008900A2">
        <w:t>protective factors leading to resilience. These two resiliency factors include how connected TGD individuals feel to their community (e.g.</w:t>
      </w:r>
      <w:r w:rsidR="00270D21" w:rsidRPr="008900A2">
        <w:t>,</w:t>
      </w:r>
      <w:r w:rsidR="0023008C" w:rsidRPr="008900A2">
        <w:t xml:space="preserve"> community connectedness) and how much pride TGD individuals feel about their gender identity (Testa et al., 2015). </w:t>
      </w:r>
      <w:r w:rsidR="00472EB2" w:rsidRPr="008900A2">
        <w:t xml:space="preserve">The current model was partially based on a model constructed by Testa and colleagues (2017) examining the relationship between </w:t>
      </w:r>
      <w:r w:rsidR="00910A98" w:rsidRPr="008900A2">
        <w:t xml:space="preserve">distal </w:t>
      </w:r>
      <w:r w:rsidR="00472EB2" w:rsidRPr="008900A2">
        <w:t xml:space="preserve">marginalization stressors and suicidal ideation with </w:t>
      </w:r>
      <w:r w:rsidR="00D34E8A" w:rsidRPr="008900A2">
        <w:t xml:space="preserve">proximal </w:t>
      </w:r>
      <w:r w:rsidR="00472EB2" w:rsidRPr="008900A2">
        <w:t>marginalization stressors mediating these relationships.</w:t>
      </w:r>
    </w:p>
    <w:p w14:paraId="547E06C3" w14:textId="7D3275BF" w:rsidR="00EE60FA" w:rsidRPr="008900A2" w:rsidRDefault="0023008C" w:rsidP="00AF1662">
      <w:pPr>
        <w:spacing w:after="0" w:line="480" w:lineRule="auto"/>
      </w:pPr>
      <w:r w:rsidRPr="008900A2">
        <w:tab/>
      </w:r>
      <w:r w:rsidR="002D0CF5" w:rsidRPr="008900A2">
        <w:rPr>
          <w:bCs w:val="0"/>
        </w:rPr>
        <w:t>Another theoretical contribution is Hatzenbuehler’s (2009) psychological mediation framework which proposed mediators</w:t>
      </w:r>
      <w:r w:rsidR="00D639F2" w:rsidRPr="008900A2">
        <w:rPr>
          <w:bCs w:val="0"/>
        </w:rPr>
        <w:t xml:space="preserve"> connecting distal and proximal </w:t>
      </w:r>
      <w:r w:rsidR="00270D21" w:rsidRPr="008900A2">
        <w:rPr>
          <w:bCs w:val="0"/>
        </w:rPr>
        <w:t xml:space="preserve">marginalization </w:t>
      </w:r>
      <w:r w:rsidR="00D639F2" w:rsidRPr="008900A2">
        <w:rPr>
          <w:bCs w:val="0"/>
        </w:rPr>
        <w:t xml:space="preserve">stressors to increased psychological distress. </w:t>
      </w:r>
      <w:r w:rsidR="002D0CF5" w:rsidRPr="008900A2">
        <w:rPr>
          <w:bCs w:val="0"/>
        </w:rPr>
        <w:t xml:space="preserve">A key potential mediator is difficulties with emotion regulation, such as rumination. </w:t>
      </w:r>
      <w:r w:rsidR="00EE60FA" w:rsidRPr="008900A2">
        <w:t>Rumination is a response style to stress that involves persistent thinking</w:t>
      </w:r>
      <w:r w:rsidR="00A333FF" w:rsidRPr="008900A2">
        <w:t xml:space="preserve"> (Nolen-</w:t>
      </w:r>
      <w:proofErr w:type="spellStart"/>
      <w:r w:rsidR="00A333FF" w:rsidRPr="008900A2">
        <w:t>Hoesema</w:t>
      </w:r>
      <w:proofErr w:type="spellEnd"/>
      <w:r w:rsidR="00A333FF" w:rsidRPr="008900A2">
        <w:t>, 2008)</w:t>
      </w:r>
      <w:r w:rsidR="00EE60FA" w:rsidRPr="008900A2">
        <w:t xml:space="preserve">. The </w:t>
      </w:r>
      <w:r w:rsidR="00270D21" w:rsidRPr="008900A2">
        <w:t>most studied</w:t>
      </w:r>
      <w:r w:rsidR="00EE60FA" w:rsidRPr="008900A2">
        <w:t xml:space="preserve"> type of rumination is depressive rumination which</w:t>
      </w:r>
      <w:r w:rsidR="00CD09C4" w:rsidRPr="008900A2">
        <w:t xml:space="preserve"> Nolen-Hoeksema (1991)</w:t>
      </w:r>
      <w:r w:rsidR="00EE60FA" w:rsidRPr="008900A2">
        <w:t xml:space="preserve"> defines as “behaviors and thoughts that focus one's attention on one's depressive symptoms and on the implications of these symptoms</w:t>
      </w:r>
      <w:r w:rsidR="00910A98" w:rsidRPr="008900A2">
        <w:t xml:space="preserve"> (p. 569)</w:t>
      </w:r>
      <w:r w:rsidR="00EE60FA" w:rsidRPr="008900A2">
        <w:t xml:space="preserve">.” Unlike other adaptive forms of reflection, this ruminative response to depression does not lead to active problem solving but rather fixation on the problem and emotions related to the problem without an attempt to solve the problem. These ruminative thoughts are generally negative, much like the negative cognitive styles that are typically associated with the cognitive theory of depression and cognitive therapy </w:t>
      </w:r>
      <w:r w:rsidR="00201A2E" w:rsidRPr="008900A2">
        <w:t>(Beck, 1967, 1979)</w:t>
      </w:r>
      <w:r w:rsidR="001A3760" w:rsidRPr="008900A2">
        <w:t>.</w:t>
      </w:r>
      <w:r w:rsidR="00EE60FA" w:rsidRPr="008900A2">
        <w:t xml:space="preserve"> Many studies have shown that rumination is related to higher levels of depression </w:t>
      </w:r>
      <w:r w:rsidR="001A3760" w:rsidRPr="008900A2">
        <w:t>(</w:t>
      </w:r>
      <w:r w:rsidR="00B92ECA" w:rsidRPr="008900A2">
        <w:t>e.g.,</w:t>
      </w:r>
      <w:r w:rsidR="001A3760" w:rsidRPr="008900A2">
        <w:t xml:space="preserve"> Nolen-Hoeksema</w:t>
      </w:r>
      <w:r w:rsidR="00820DD6" w:rsidRPr="008900A2">
        <w:t xml:space="preserve"> et al.</w:t>
      </w:r>
      <w:r w:rsidR="001A3760" w:rsidRPr="008900A2">
        <w:t>, 2008; Takano &amp; Tanno, 2009)</w:t>
      </w:r>
      <w:r w:rsidR="00EE60FA" w:rsidRPr="008900A2">
        <w:t xml:space="preserve"> and anxiety</w:t>
      </w:r>
      <w:r w:rsidR="001A3760" w:rsidRPr="008900A2">
        <w:t xml:space="preserve"> (Abbott &amp; </w:t>
      </w:r>
      <w:proofErr w:type="spellStart"/>
      <w:r w:rsidR="001A3760" w:rsidRPr="008900A2">
        <w:t>Rapee</w:t>
      </w:r>
      <w:proofErr w:type="spellEnd"/>
      <w:r w:rsidR="001A3760" w:rsidRPr="008900A2">
        <w:t>, 2004; Fresco</w:t>
      </w:r>
      <w:r w:rsidR="00820DD6" w:rsidRPr="008900A2">
        <w:t xml:space="preserve"> et al.</w:t>
      </w:r>
      <w:r w:rsidR="001A3760" w:rsidRPr="008900A2">
        <w:t xml:space="preserve">, 2002). </w:t>
      </w:r>
    </w:p>
    <w:p w14:paraId="01D6445B" w14:textId="38E5B4AE" w:rsidR="00EE60FA" w:rsidRPr="008900A2" w:rsidRDefault="00EE60FA" w:rsidP="00AF1662">
      <w:pPr>
        <w:spacing w:after="0" w:line="480" w:lineRule="auto"/>
      </w:pPr>
      <w:r w:rsidRPr="008900A2">
        <w:tab/>
        <w:t xml:space="preserve">Rumination related to minority status has been studied within sexual minority communities, with results demonstrating that </w:t>
      </w:r>
      <w:r w:rsidR="008B06FA" w:rsidRPr="008900A2">
        <w:t xml:space="preserve">marginalization </w:t>
      </w:r>
      <w:r w:rsidRPr="008900A2">
        <w:t>stress places sexual minorities at a higher risk than their heterosexual counterparts for developing a maladaptive, ruminative coping style</w:t>
      </w:r>
      <w:r w:rsidR="001956D0" w:rsidRPr="008900A2">
        <w:t xml:space="preserve"> (Hatzenbuehler, 2009)</w:t>
      </w:r>
      <w:r w:rsidRPr="008900A2">
        <w:t xml:space="preserve">. This work has been extended to </w:t>
      </w:r>
      <w:r w:rsidR="00EB4230" w:rsidRPr="008900A2">
        <w:t>TGD</w:t>
      </w:r>
      <w:r w:rsidRPr="008900A2">
        <w:t xml:space="preserve"> communities, examining their unique experiences of stigma and the impact this has on rumination. </w:t>
      </w:r>
      <w:proofErr w:type="spellStart"/>
      <w:r w:rsidRPr="008900A2">
        <w:t>Bauerband</w:t>
      </w:r>
      <w:proofErr w:type="spellEnd"/>
      <w:r w:rsidRPr="008900A2">
        <w:t xml:space="preserve"> and </w:t>
      </w:r>
      <w:proofErr w:type="spellStart"/>
      <w:r w:rsidRPr="008900A2">
        <w:t>Galupo</w:t>
      </w:r>
      <w:proofErr w:type="spellEnd"/>
      <w:r w:rsidRPr="008900A2">
        <w:t xml:space="preserve"> </w:t>
      </w:r>
      <w:r w:rsidR="001956D0" w:rsidRPr="008900A2">
        <w:t xml:space="preserve">(2014) </w:t>
      </w:r>
      <w:r w:rsidRPr="008900A2">
        <w:t xml:space="preserve">sought to disentangle the unique experiences of rumination related to gender that </w:t>
      </w:r>
      <w:r w:rsidR="00EB4230" w:rsidRPr="008900A2">
        <w:t>TGD</w:t>
      </w:r>
      <w:r w:rsidRPr="008900A2">
        <w:t xml:space="preserve"> </w:t>
      </w:r>
      <w:r w:rsidR="008B06FA" w:rsidRPr="008900A2">
        <w:t>people</w:t>
      </w:r>
      <w:r w:rsidRPr="008900A2">
        <w:t xml:space="preserve"> experience, specifically the extent to which a person thinks about </w:t>
      </w:r>
      <w:r w:rsidR="00D34E8A" w:rsidRPr="008900A2">
        <w:t xml:space="preserve">their </w:t>
      </w:r>
      <w:r w:rsidRPr="008900A2">
        <w:t xml:space="preserve">gender identity. They found a significant relationship between gender rumination and experiences of stigma, consistent with previous findings of the relationship between experiences of stigma and rumination </w:t>
      </w:r>
      <w:r w:rsidR="001956D0" w:rsidRPr="008900A2">
        <w:t>(Hatzenbuehler</w:t>
      </w:r>
      <w:r w:rsidR="00820DD6" w:rsidRPr="008900A2">
        <w:t xml:space="preserve"> et al.</w:t>
      </w:r>
      <w:r w:rsidR="001956D0" w:rsidRPr="008900A2">
        <w:t>, 2009)</w:t>
      </w:r>
      <w:r w:rsidRPr="008900A2">
        <w:t xml:space="preserve">. This suggests rumination might play a role in the impact of proximal stress, specifically the idea that rumination may impact experiences of stigma and sensitivity toward stigma-related stress </w:t>
      </w:r>
      <w:r w:rsidR="001956D0" w:rsidRPr="008900A2">
        <w:t>(</w:t>
      </w:r>
      <w:proofErr w:type="spellStart"/>
      <w:r w:rsidR="001956D0" w:rsidRPr="008900A2">
        <w:t>Bauerband</w:t>
      </w:r>
      <w:proofErr w:type="spellEnd"/>
      <w:r w:rsidR="001956D0" w:rsidRPr="008900A2">
        <w:t xml:space="preserve"> &amp; </w:t>
      </w:r>
      <w:proofErr w:type="spellStart"/>
      <w:r w:rsidR="001956D0" w:rsidRPr="008900A2">
        <w:t>Galupo</w:t>
      </w:r>
      <w:proofErr w:type="spellEnd"/>
      <w:r w:rsidR="001956D0" w:rsidRPr="008900A2">
        <w:t>, 2014)</w:t>
      </w:r>
      <w:r w:rsidRPr="008900A2">
        <w:t xml:space="preserve">. Since gender-related rumination is conceptualized similarly to depressive rumination, we hypothesize that greater presence of gender-related rumination will be associated with more depressive symptoms. </w:t>
      </w:r>
    </w:p>
    <w:p w14:paraId="3F041B22" w14:textId="53D8D732" w:rsidR="00D639F2" w:rsidRPr="008900A2" w:rsidRDefault="00D639F2" w:rsidP="00D639F2">
      <w:pPr>
        <w:spacing w:after="0" w:line="480" w:lineRule="auto"/>
        <w:ind w:firstLine="720"/>
      </w:pPr>
      <w:r w:rsidRPr="008900A2">
        <w:t xml:space="preserve">Despite the expanding literature on marginalization stress and TGD people overall, </w:t>
      </w:r>
      <w:r w:rsidR="00546D34" w:rsidRPr="008900A2">
        <w:t xml:space="preserve">there is </w:t>
      </w:r>
      <w:r w:rsidRPr="008900A2">
        <w:t>l</w:t>
      </w:r>
      <w:r w:rsidR="00EE60FA" w:rsidRPr="008900A2">
        <w:t xml:space="preserve">ittle research </w:t>
      </w:r>
      <w:r w:rsidRPr="008900A2">
        <w:t>at</w:t>
      </w:r>
      <w:r w:rsidR="00546D34" w:rsidRPr="008900A2">
        <w:t xml:space="preserve"> the</w:t>
      </w:r>
      <w:r w:rsidRPr="008900A2">
        <w:t xml:space="preserve"> intersections of different identities, such as </w:t>
      </w:r>
      <w:r w:rsidR="00EE60FA" w:rsidRPr="008900A2">
        <w:t xml:space="preserve">examining rural versus urban </w:t>
      </w:r>
      <w:r w:rsidR="00EB4230" w:rsidRPr="008900A2">
        <w:t>TGD</w:t>
      </w:r>
      <w:r w:rsidR="00EE60FA" w:rsidRPr="008900A2">
        <w:t xml:space="preserve"> </w:t>
      </w:r>
      <w:r w:rsidR="001956D0" w:rsidRPr="008900A2">
        <w:t>communities’</w:t>
      </w:r>
      <w:r w:rsidR="00EE60FA" w:rsidRPr="008900A2">
        <w:t xml:space="preserve"> experiences.</w:t>
      </w:r>
      <w:r w:rsidRPr="008900A2" w:rsidDel="00612F60">
        <w:t xml:space="preserve"> Research</w:t>
      </w:r>
      <w:r w:rsidRPr="008900A2">
        <w:t xml:space="preserve"> on seemingly cisgender populations</w:t>
      </w:r>
      <w:r w:rsidRPr="008900A2" w:rsidDel="00612F60">
        <w:t xml:space="preserve"> demonstrates disparate rates of mental health disorders and mental health service seeking behaviors between rural and urban populations (Carpenter-Song &amp; Snell-Rood, 2016). </w:t>
      </w:r>
      <w:r w:rsidRPr="008900A2">
        <w:t xml:space="preserve">The U.S. Census Bureau (2010) classifies two types of urban areas, urbanized </w:t>
      </w:r>
      <w:proofErr w:type="gramStart"/>
      <w:r w:rsidRPr="008900A2">
        <w:t>areas</w:t>
      </w:r>
      <w:proofErr w:type="gramEnd"/>
      <w:r w:rsidRPr="008900A2">
        <w:t xml:space="preserve"> and urban cluster areas. Urbanized areas are comprised of areas of 50,000 or more people and urban cluster areas are comprised of areas of at least 2,500 and less than 50,000 people. Rural areas are defined as “all population, housing, and territory not included within an urban </w:t>
      </w:r>
      <w:r w:rsidR="00AA5732" w:rsidRPr="008900A2">
        <w:t xml:space="preserve">(or urban cluster) </w:t>
      </w:r>
      <w:r w:rsidRPr="008900A2">
        <w:t xml:space="preserve">area.” </w:t>
      </w:r>
      <w:r w:rsidR="00AA5732" w:rsidRPr="008900A2">
        <w:t xml:space="preserve">There are many ways to classify rural and urban areas, for this study we chose the U.S. Census Bureau categories. </w:t>
      </w:r>
      <w:r w:rsidR="00A90891" w:rsidRPr="008900A2">
        <w:t xml:space="preserve">In one study that compared rates of </w:t>
      </w:r>
      <w:r w:rsidR="00270D21" w:rsidRPr="008900A2">
        <w:t>marginalization stress</w:t>
      </w:r>
      <w:r w:rsidR="00A90891" w:rsidRPr="008900A2">
        <w:t xml:space="preserve"> among LGB individuals in different geographic location, rural LGB individuals reported higher rates of felt stigma and discrimination </w:t>
      </w:r>
      <w:r w:rsidR="00270D21" w:rsidRPr="008900A2">
        <w:t>and</w:t>
      </w:r>
      <w:r w:rsidR="00A90891" w:rsidRPr="008900A2">
        <w:t xml:space="preserve"> felt less connected to </w:t>
      </w:r>
      <w:r w:rsidR="00D34E8A" w:rsidRPr="008900A2">
        <w:t xml:space="preserve">other </w:t>
      </w:r>
      <w:r w:rsidR="00A90891" w:rsidRPr="008900A2">
        <w:t xml:space="preserve">LGB individuals compared to </w:t>
      </w:r>
      <w:r w:rsidR="00D34E8A" w:rsidRPr="008900A2">
        <w:t xml:space="preserve">their </w:t>
      </w:r>
      <w:r w:rsidR="00A90891" w:rsidRPr="008900A2">
        <w:t>urban counterparts (Swank</w:t>
      </w:r>
      <w:r w:rsidR="00820DD6" w:rsidRPr="008900A2">
        <w:t xml:space="preserve"> et al.</w:t>
      </w:r>
      <w:r w:rsidR="00A90891" w:rsidRPr="008900A2">
        <w:t xml:space="preserve">, 2012). </w:t>
      </w:r>
      <w:r w:rsidRPr="008900A2">
        <w:t xml:space="preserve">It is </w:t>
      </w:r>
      <w:r w:rsidR="005A2862" w:rsidRPr="008900A2">
        <w:t>unknown</w:t>
      </w:r>
      <w:r w:rsidR="003409B7" w:rsidRPr="008900A2">
        <w:t xml:space="preserve"> whether</w:t>
      </w:r>
      <w:r w:rsidR="005A2862" w:rsidRPr="008900A2">
        <w:t xml:space="preserve"> the experiences of </w:t>
      </w:r>
      <w:r w:rsidRPr="008900A2">
        <w:t>TGD individuals var</w:t>
      </w:r>
      <w:r w:rsidR="003409B7" w:rsidRPr="008900A2">
        <w:t>y</w:t>
      </w:r>
      <w:r w:rsidRPr="008900A2">
        <w:t xml:space="preserve"> across urban, urban cluster, and rural areas of residence</w:t>
      </w:r>
      <w:r w:rsidR="00A90891" w:rsidRPr="008900A2">
        <w:t xml:space="preserve"> in </w:t>
      </w:r>
      <w:r w:rsidR="005A2862" w:rsidRPr="008900A2">
        <w:t>a similar manner</w:t>
      </w:r>
      <w:r w:rsidRPr="008900A2">
        <w:t>.</w:t>
      </w:r>
    </w:p>
    <w:p w14:paraId="06B87FAE" w14:textId="40C48330" w:rsidR="006F689C" w:rsidRPr="008900A2" w:rsidRDefault="00D639F2" w:rsidP="00DD220E">
      <w:pPr>
        <w:spacing w:after="0" w:line="480" w:lineRule="auto"/>
        <w:ind w:firstLine="720"/>
      </w:pPr>
      <w:r w:rsidRPr="008900A2">
        <w:t>Although limited data are available, the intersection of rural and TGD identities may be associated with even higher prevalence of mental health disorder</w:t>
      </w:r>
      <w:r w:rsidR="00AF08EA" w:rsidRPr="008900A2">
        <w:t>s</w:t>
      </w:r>
      <w:r w:rsidRPr="008900A2">
        <w:t xml:space="preserve"> compared to urban TGD people. Irwin and colleagues (2014) found 66% of rural TGD participants</w:t>
      </w:r>
      <w:r w:rsidR="00AF08EA" w:rsidRPr="008900A2">
        <w:t xml:space="preserve"> in Nebraska</w:t>
      </w:r>
      <w:r w:rsidRPr="008900A2">
        <w:t xml:space="preserve"> had considered suicide. Further, while one study found rates of suicide attempts are similar between rural and urban transgender men, rural transgender men endorsed significantly more symptoms of depression (Horvath</w:t>
      </w:r>
      <w:r w:rsidR="00820DD6" w:rsidRPr="008900A2">
        <w:t xml:space="preserve"> et al.</w:t>
      </w:r>
      <w:r w:rsidRPr="008900A2">
        <w:t xml:space="preserve">, 2014). </w:t>
      </w:r>
      <w:r w:rsidR="005A2862" w:rsidRPr="008900A2">
        <w:t>An application of Meyer’s model suggests that rural environments may come with an elevated risk of exposure to marginalization</w:t>
      </w:r>
      <w:r w:rsidR="00EA7ACB" w:rsidRPr="008900A2">
        <w:t xml:space="preserve"> combined with a</w:t>
      </w:r>
      <w:r w:rsidRPr="008900A2">
        <w:t xml:space="preserve"> lack of</w:t>
      </w:r>
      <w:r w:rsidR="00EA7ACB" w:rsidRPr="008900A2">
        <w:t xml:space="preserve"> protective factors such as</w:t>
      </w:r>
      <w:r w:rsidRPr="008900A2">
        <w:t xml:space="preserve"> a supportive TGD community </w:t>
      </w:r>
      <w:r w:rsidR="00EA7ACB" w:rsidRPr="008900A2">
        <w:t xml:space="preserve">or </w:t>
      </w:r>
      <w:r w:rsidRPr="008900A2">
        <w:t>resources</w:t>
      </w:r>
      <w:r w:rsidR="00EA7ACB" w:rsidRPr="008900A2">
        <w:t xml:space="preserve"> such as</w:t>
      </w:r>
      <w:r w:rsidRPr="008900A2">
        <w:t xml:space="preserve"> affirming mental health care, </w:t>
      </w:r>
      <w:r w:rsidR="005A2862" w:rsidRPr="008900A2">
        <w:t xml:space="preserve">which then may compound </w:t>
      </w:r>
      <w:r w:rsidRPr="008900A2">
        <w:t>disparities found in rural areas.</w:t>
      </w:r>
    </w:p>
    <w:p w14:paraId="394498C4" w14:textId="7C0D0323" w:rsidR="00884A3E" w:rsidRPr="008900A2" w:rsidRDefault="00B55974" w:rsidP="00AF1662">
      <w:pPr>
        <w:spacing w:after="0" w:line="480" w:lineRule="auto"/>
      </w:pPr>
      <w:r w:rsidRPr="008900A2">
        <w:tab/>
      </w:r>
      <w:r w:rsidR="008F3142" w:rsidRPr="008900A2">
        <w:t>Rarely has research examined the relationship between</w:t>
      </w:r>
      <w:r w:rsidR="00623ED8" w:rsidRPr="008900A2">
        <w:t xml:space="preserve"> rural status</w:t>
      </w:r>
      <w:r w:rsidR="008F3142" w:rsidRPr="008900A2">
        <w:t xml:space="preserve"> and experiences of marginalization stress simultaneously. Further, much of the broader research examining these variables </w:t>
      </w:r>
      <w:r w:rsidR="00623ED8" w:rsidRPr="008900A2">
        <w:t>has been conducted within aggregated samples of LGBT communities. This makes it difficult to determine factors specific to</w:t>
      </w:r>
      <w:r w:rsidR="00DD3A55" w:rsidRPr="008900A2">
        <w:t xml:space="preserve"> </w:t>
      </w:r>
      <w:r w:rsidR="00EB4230" w:rsidRPr="008900A2">
        <w:t>TGD</w:t>
      </w:r>
      <w:r w:rsidR="00623ED8" w:rsidRPr="008900A2">
        <w:t xml:space="preserve"> communities. However, the intersection of individuals who identify as </w:t>
      </w:r>
      <w:r w:rsidR="00EB4230" w:rsidRPr="008900A2">
        <w:t>TGD</w:t>
      </w:r>
      <w:r w:rsidR="00623ED8" w:rsidRPr="008900A2">
        <w:t xml:space="preserve"> and their non-urban status </w:t>
      </w:r>
      <w:r w:rsidR="00DD220E" w:rsidRPr="008900A2">
        <w:t>may impact</w:t>
      </w:r>
      <w:r w:rsidR="00623ED8" w:rsidRPr="008900A2">
        <w:t xml:space="preserve"> their mental health. </w:t>
      </w:r>
      <w:r w:rsidR="00DD220E" w:rsidRPr="008900A2">
        <w:t>For example, TGD people who live in urban areas often have greater access to other TGD</w:t>
      </w:r>
      <w:r w:rsidR="00ED359E" w:rsidRPr="008900A2">
        <w:t>-</w:t>
      </w:r>
      <w:r w:rsidR="00DD220E" w:rsidRPr="008900A2">
        <w:t xml:space="preserve">identified people, therefore increasing their ability to create strong support networks. These support networks likely aid in navigating their identity formation and buffering the impact of experiences of discrimination. </w:t>
      </w:r>
    </w:p>
    <w:p w14:paraId="274321E8" w14:textId="4844D2E1" w:rsidR="009B255F" w:rsidRPr="008900A2" w:rsidRDefault="00884A3E" w:rsidP="00A267E0">
      <w:pPr>
        <w:spacing w:after="0" w:line="480" w:lineRule="auto"/>
      </w:pPr>
      <w:r w:rsidRPr="008900A2">
        <w:tab/>
      </w:r>
      <w:r w:rsidR="0047023B" w:rsidRPr="008900A2">
        <w:t xml:space="preserve">As such, the </w:t>
      </w:r>
      <w:r w:rsidR="00F74786" w:rsidRPr="008900A2">
        <w:t xml:space="preserve">overarching goal of </w:t>
      </w:r>
      <w:r w:rsidR="0047023B" w:rsidRPr="008900A2">
        <w:t xml:space="preserve">the present study is to examine the impact of area of residence on experiences of marginalization stress and </w:t>
      </w:r>
      <w:r w:rsidR="00F74786" w:rsidRPr="008900A2">
        <w:t xml:space="preserve">subsequent </w:t>
      </w:r>
      <w:r w:rsidR="0047023B" w:rsidRPr="008900A2">
        <w:t xml:space="preserve">negative mental health outcomes such as anxiety, depression, and suicidal ideation. </w:t>
      </w:r>
      <w:r w:rsidR="00F74786" w:rsidRPr="008900A2">
        <w:t xml:space="preserve">Explicitly, through a </w:t>
      </w:r>
      <w:r w:rsidR="00BE4828" w:rsidRPr="008900A2">
        <w:t xml:space="preserve">set of three </w:t>
      </w:r>
      <w:r w:rsidR="00F74786" w:rsidRPr="008900A2">
        <w:t xml:space="preserve">models, we have three primary aims. The first aim of the study </w:t>
      </w:r>
      <w:r w:rsidR="005510A2" w:rsidRPr="008900A2">
        <w:t>was</w:t>
      </w:r>
      <w:r w:rsidR="00F74786" w:rsidRPr="008900A2">
        <w:t xml:space="preserve"> to determine whether </w:t>
      </w:r>
      <w:r w:rsidR="00B43F73" w:rsidRPr="008900A2">
        <w:t xml:space="preserve">there are </w:t>
      </w:r>
      <w:r w:rsidR="00F74786" w:rsidRPr="008900A2">
        <w:t xml:space="preserve">differences in negative mental health outcomes (e.g., anxiety, depression, suicidal ideation) </w:t>
      </w:r>
      <w:r w:rsidR="00B43F73" w:rsidRPr="008900A2">
        <w:t>between areas of residence. Specifically, we</w:t>
      </w:r>
      <w:r w:rsidR="00F74786" w:rsidRPr="008900A2">
        <w:t xml:space="preserve"> hypothesize</w:t>
      </w:r>
      <w:r w:rsidR="005510A2" w:rsidRPr="008900A2">
        <w:t>d that</w:t>
      </w:r>
      <w:r w:rsidR="00F74786" w:rsidRPr="008900A2">
        <w:t xml:space="preserve"> r</w:t>
      </w:r>
      <w:r w:rsidR="00F74786" w:rsidRPr="008900A2">
        <w:rPr>
          <w:rFonts w:eastAsia="Times New Roman"/>
        </w:rPr>
        <w:t xml:space="preserve">ural and urban cluster participants will evidence greater degrees of anxiety, depression, and suicidality than urban participants. The second aim of the study </w:t>
      </w:r>
      <w:r w:rsidR="005510A2" w:rsidRPr="008900A2">
        <w:t>was</w:t>
      </w:r>
      <w:r w:rsidR="00B43F73" w:rsidRPr="008900A2">
        <w:t xml:space="preserve"> to determine whether there are differences in experiences of gender-related</w:t>
      </w:r>
      <w:r w:rsidR="00E674A2" w:rsidRPr="008900A2">
        <w:t xml:space="preserve"> distal</w:t>
      </w:r>
      <w:r w:rsidR="00B43F73" w:rsidRPr="008900A2">
        <w:t xml:space="preserve"> marginalization stressors and protective factors. Specifically, we hypothesize</w:t>
      </w:r>
      <w:r w:rsidR="002240DF" w:rsidRPr="008900A2">
        <w:t>d that</w:t>
      </w:r>
      <w:r w:rsidR="00B43F73" w:rsidRPr="008900A2">
        <w:t xml:space="preserve"> rural and urban cluster participants will experience higher levels of gender-related marginalization stressors and have </w:t>
      </w:r>
      <w:r w:rsidR="00A22B87" w:rsidRPr="008900A2">
        <w:t xml:space="preserve">lower levels of </w:t>
      </w:r>
      <w:r w:rsidR="00B43F73" w:rsidRPr="008900A2">
        <w:t xml:space="preserve">protective factors than people living in urban areas. </w:t>
      </w:r>
      <w:r w:rsidR="00F74786" w:rsidRPr="008900A2">
        <w:t xml:space="preserve">The third aim of this study </w:t>
      </w:r>
      <w:r w:rsidR="005510A2" w:rsidRPr="008900A2">
        <w:t>was</w:t>
      </w:r>
      <w:r w:rsidR="00F74786" w:rsidRPr="008900A2">
        <w:t xml:space="preserve"> to determine whether distal and proximal marginalization</w:t>
      </w:r>
      <w:r w:rsidR="002B78EA" w:rsidRPr="008900A2">
        <w:t xml:space="preserve"> stressors</w:t>
      </w:r>
      <w:r w:rsidR="00F74786" w:rsidRPr="008900A2">
        <w:t xml:space="preserve"> </w:t>
      </w:r>
      <w:r w:rsidR="009B255F" w:rsidRPr="008900A2">
        <w:t xml:space="preserve">would account for significant portions of </w:t>
      </w:r>
      <w:r w:rsidR="00F74786" w:rsidRPr="008900A2">
        <w:t>the relationship between area of residence and negative mental health outcomes</w:t>
      </w:r>
      <w:r w:rsidR="002B78EA" w:rsidRPr="008900A2">
        <w:t xml:space="preserve"> and if protective factors moderate these relationships</w:t>
      </w:r>
      <w:r w:rsidR="00F74786" w:rsidRPr="008900A2">
        <w:t>. Specifically, we hypothesize</w:t>
      </w:r>
      <w:r w:rsidR="005510A2" w:rsidRPr="008900A2">
        <w:t>d</w:t>
      </w:r>
      <w:r w:rsidR="005A0495" w:rsidRPr="008900A2">
        <w:t>: (a)</w:t>
      </w:r>
      <w:r w:rsidR="00F74786" w:rsidRPr="008900A2">
        <w:t xml:space="preserve"> </w:t>
      </w:r>
      <w:r w:rsidR="009B255F" w:rsidRPr="008900A2">
        <w:t xml:space="preserve">area of residence </w:t>
      </w:r>
      <w:r w:rsidR="005510A2" w:rsidRPr="008900A2">
        <w:t>would</w:t>
      </w:r>
      <w:r w:rsidR="009B255F" w:rsidRPr="008900A2">
        <w:t xml:space="preserve"> predict distal marginalization stressors</w:t>
      </w:r>
      <w:r w:rsidR="005A0495" w:rsidRPr="008900A2">
        <w:t xml:space="preserve"> with those living in non-urban areas experiencing higher levels of distal marginalization stressors, (b) </w:t>
      </w:r>
      <w:r w:rsidR="009B255F" w:rsidRPr="008900A2">
        <w:t xml:space="preserve">distal marginalization stressors </w:t>
      </w:r>
      <w:r w:rsidR="005510A2" w:rsidRPr="008900A2">
        <w:t>would</w:t>
      </w:r>
      <w:r w:rsidR="009B255F" w:rsidRPr="008900A2">
        <w:t xml:space="preserve"> </w:t>
      </w:r>
      <w:r w:rsidR="005A0495" w:rsidRPr="008900A2">
        <w:t xml:space="preserve">positively </w:t>
      </w:r>
      <w:r w:rsidR="009B255F" w:rsidRPr="008900A2">
        <w:t xml:space="preserve">predict proximal marginalization stressors such that higher levels of distal marginalization stressors </w:t>
      </w:r>
      <w:r w:rsidR="00D81ED9" w:rsidRPr="008900A2">
        <w:t>would</w:t>
      </w:r>
      <w:r w:rsidR="009B255F" w:rsidRPr="008900A2">
        <w:t xml:space="preserve"> be associated with higher levels of proximal marginalization stressors</w:t>
      </w:r>
      <w:r w:rsidR="005A0495" w:rsidRPr="008900A2">
        <w:t xml:space="preserve">, (c) </w:t>
      </w:r>
      <w:r w:rsidR="009B255F" w:rsidRPr="008900A2">
        <w:t xml:space="preserve">proximal </w:t>
      </w:r>
      <w:r w:rsidR="005A0495" w:rsidRPr="008900A2">
        <w:t xml:space="preserve">marginalization </w:t>
      </w:r>
      <w:r w:rsidR="009B255F" w:rsidRPr="008900A2">
        <w:t xml:space="preserve">stressors </w:t>
      </w:r>
      <w:r w:rsidR="00D81ED9" w:rsidRPr="008900A2">
        <w:t>would</w:t>
      </w:r>
      <w:r w:rsidR="009B255F" w:rsidRPr="008900A2">
        <w:t xml:space="preserve"> positively predict negative mental health symptoms, such that higher levels of </w:t>
      </w:r>
      <w:r w:rsidR="005A0495" w:rsidRPr="008900A2">
        <w:t>proximal marginalization stressors</w:t>
      </w:r>
      <w:r w:rsidR="009B255F" w:rsidRPr="008900A2">
        <w:t xml:space="preserve"> </w:t>
      </w:r>
      <w:r w:rsidR="00D81ED9" w:rsidRPr="008900A2">
        <w:t>would</w:t>
      </w:r>
      <w:r w:rsidR="009B255F" w:rsidRPr="008900A2">
        <w:t xml:space="preserve"> </w:t>
      </w:r>
      <w:r w:rsidR="005A0495" w:rsidRPr="008900A2">
        <w:t xml:space="preserve">be associated with </w:t>
      </w:r>
      <w:r w:rsidR="009B255F" w:rsidRPr="008900A2">
        <w:t>more negative mental health symptoms</w:t>
      </w:r>
      <w:r w:rsidR="005A0495" w:rsidRPr="008900A2">
        <w:t xml:space="preserve">, and (d) protective factors </w:t>
      </w:r>
      <w:r w:rsidR="00D81ED9" w:rsidRPr="008900A2">
        <w:t>would</w:t>
      </w:r>
      <w:r w:rsidR="005A0495" w:rsidRPr="008900A2">
        <w:t xml:space="preserve"> moderate these relationships such that compromised protective factors </w:t>
      </w:r>
      <w:r w:rsidR="00D81ED9" w:rsidRPr="008900A2">
        <w:t>would</w:t>
      </w:r>
      <w:r w:rsidR="005A0495" w:rsidRPr="008900A2">
        <w:t xml:space="preserve"> be associated with more negative mental health symptoms.  </w:t>
      </w:r>
    </w:p>
    <w:p w14:paraId="075B8EFE" w14:textId="16521B0B" w:rsidR="00906E13" w:rsidRPr="008900A2" w:rsidRDefault="000B40C5" w:rsidP="00AF1662">
      <w:pPr>
        <w:spacing w:after="0" w:line="480" w:lineRule="auto"/>
        <w:jc w:val="center"/>
        <w:rPr>
          <w:b/>
        </w:rPr>
      </w:pPr>
      <w:r w:rsidRPr="008900A2">
        <w:rPr>
          <w:b/>
        </w:rPr>
        <w:t>Method</w:t>
      </w:r>
    </w:p>
    <w:p w14:paraId="6E60EC20" w14:textId="5DE83582" w:rsidR="00906E13" w:rsidRPr="008900A2" w:rsidRDefault="00DA555C" w:rsidP="00AF1662">
      <w:pPr>
        <w:spacing w:after="0" w:line="480" w:lineRule="auto"/>
        <w:rPr>
          <w:b/>
        </w:rPr>
      </w:pPr>
      <w:r w:rsidRPr="008900A2">
        <w:rPr>
          <w:b/>
        </w:rPr>
        <w:t>Participants</w:t>
      </w:r>
    </w:p>
    <w:p w14:paraId="29DF368A" w14:textId="156C5085" w:rsidR="00934873" w:rsidRPr="008900A2" w:rsidRDefault="00A06E44" w:rsidP="00AF1662">
      <w:pPr>
        <w:spacing w:after="0" w:line="480" w:lineRule="auto"/>
        <w:ind w:firstLine="720"/>
      </w:pPr>
      <w:r w:rsidRPr="008900A2">
        <w:t xml:space="preserve">The current study consisted of </w:t>
      </w:r>
      <w:r w:rsidR="00660F42" w:rsidRPr="008900A2">
        <w:t xml:space="preserve">a national sample of </w:t>
      </w:r>
      <w:r w:rsidR="00D330AC" w:rsidRPr="008900A2">
        <w:t>22</w:t>
      </w:r>
      <w:r w:rsidR="008252BC" w:rsidRPr="008900A2">
        <w:t>5</w:t>
      </w:r>
      <w:r w:rsidR="00C47257" w:rsidRPr="008900A2">
        <w:t xml:space="preserve"> </w:t>
      </w:r>
      <w:r w:rsidR="00EB4230" w:rsidRPr="008900A2">
        <w:t>TGD</w:t>
      </w:r>
      <w:r w:rsidR="00D51C11" w:rsidRPr="008900A2">
        <w:t xml:space="preserve"> p</w:t>
      </w:r>
      <w:r w:rsidRPr="008900A2">
        <w:t>articipants who</w:t>
      </w:r>
      <w:r w:rsidR="00D51C11" w:rsidRPr="008900A2">
        <w:t xml:space="preserve"> completed measures of gender-related </w:t>
      </w:r>
      <w:r w:rsidR="00B2301D" w:rsidRPr="008900A2">
        <w:t>marginalization</w:t>
      </w:r>
      <w:r w:rsidR="00D51C11" w:rsidRPr="008900A2">
        <w:t xml:space="preserve"> stress, depression, anxiety, and demographics listed below</w:t>
      </w:r>
      <w:r w:rsidR="00DA555C" w:rsidRPr="008900A2">
        <w:t>.</w:t>
      </w:r>
      <w:r w:rsidR="00D51C11" w:rsidRPr="008900A2">
        <w:t xml:space="preserve"> </w:t>
      </w:r>
      <w:r w:rsidR="00D7462E" w:rsidRPr="008900A2">
        <w:t>The survey asked participants to describe the area in which they reside as an urban</w:t>
      </w:r>
      <w:r w:rsidR="008A147B" w:rsidRPr="008900A2">
        <w:t>ized</w:t>
      </w:r>
      <w:r w:rsidR="00C31033" w:rsidRPr="008900A2">
        <w:t xml:space="preserve"> area</w:t>
      </w:r>
      <w:r w:rsidR="008A147B" w:rsidRPr="008900A2">
        <w:t>:</w:t>
      </w:r>
      <w:r w:rsidR="00FF0E46" w:rsidRPr="008900A2">
        <w:t xml:space="preserve"> </w:t>
      </w:r>
      <w:r w:rsidR="00D7462E" w:rsidRPr="008900A2">
        <w:t>50,000 or more people</w:t>
      </w:r>
      <w:r w:rsidR="00D7462E" w:rsidRPr="008900A2">
        <w:fldChar w:fldCharType="begin"/>
      </w:r>
      <w:r w:rsidR="00D7462E" w:rsidRPr="008900A2">
        <w:instrText xml:space="preserve"> ADDIN ZOTERO_ITEM CSL_CITATION {"citationID":"JdYdlnzh","properties":{"formattedCitation":"(U.S. Census Bureau, 2010)","plainCitation":"(U.S. Census Bureau, 2010)","dontUpdate":true,"noteIndex":0},"citationItems":[{"id":9801,"uris":["http://zotero.org/users/3742053/items/GC67QPFW"],"uri":["http://zotero.org/users/3742053/items/GC67QPFW"],"itemData":{"id":9801,"type":"webpage","title":"Urban and Rural","URL":"https://www.census.gov/programs-surveys/geography/guidance/geo-areas/urban-rural.html","language":"EN-US","author":[{"family":"U.S. Census Bureau","given":""}],"issued":{"date-parts":[["2010"]]},"accessed":{"date-parts":[["2019",7,8]]}}}],"schema":"https://github.com/citation-style-language/schema/raw/master/csl-citation.json"} </w:instrText>
      </w:r>
      <w:r w:rsidR="00D7462E" w:rsidRPr="008900A2">
        <w:fldChar w:fldCharType="separate"/>
      </w:r>
      <w:r w:rsidR="00D7462E" w:rsidRPr="008900A2">
        <w:t xml:space="preserve"> </w:t>
      </w:r>
      <w:r w:rsidR="008A147B" w:rsidRPr="008900A2">
        <w:t>(</w:t>
      </w:r>
      <w:r w:rsidR="00D7462E" w:rsidRPr="008900A2">
        <w:t>U.S. Census Bureau, 2010)</w:t>
      </w:r>
      <w:r w:rsidR="00D7462E" w:rsidRPr="008900A2">
        <w:fldChar w:fldCharType="end"/>
      </w:r>
      <w:r w:rsidR="00D7462E" w:rsidRPr="008900A2">
        <w:t xml:space="preserve">, </w:t>
      </w:r>
      <w:r w:rsidR="00A254FD" w:rsidRPr="008900A2">
        <w:t>urban cluster: at least 2,500 people but less than 50,000 people (</w:t>
      </w:r>
      <w:r w:rsidR="00A254FD" w:rsidRPr="008900A2">
        <w:fldChar w:fldCharType="begin"/>
      </w:r>
      <w:r w:rsidR="00A254FD" w:rsidRPr="008900A2">
        <w:instrText xml:space="preserve"> ADDIN ZOTERO_ITEM CSL_CITATION {"citationID":"n7M4ehT8","properties":{"formattedCitation":"(U.S. Census Bureau, 2010)","plainCitation":"(U.S. Census Bureau, 2010)","dontUpdate":true,"noteIndex":0},"citationItems":[{"id":9801,"uris":["http://zotero.org/users/3742053/items/GC67QPFW"],"uri":["http://zotero.org/users/3742053/items/GC67QPFW"],"itemData":{"id":9801,"type":"webpage","title":"Urban and Rural","URL":"https://www.census.gov/programs-surveys/geography/guidance/geo-areas/urban-rural.html","language":"EN-US","author":[{"family":"U.S. Census Bureau","given":""}],"issued":{"date-parts":[["2010"]]},"accessed":{"date-parts":[["2019",7,8]]}}}],"schema":"https://github.com/citation-style-language/schema/raw/master/csl-citation.json"} </w:instrText>
      </w:r>
      <w:r w:rsidR="00A254FD" w:rsidRPr="008900A2">
        <w:fldChar w:fldCharType="separate"/>
      </w:r>
      <w:r w:rsidR="00A254FD" w:rsidRPr="008900A2">
        <w:t>U.S. Census Bureau, 2010)</w:t>
      </w:r>
      <w:r w:rsidR="00A254FD" w:rsidRPr="008900A2">
        <w:fldChar w:fldCharType="end"/>
      </w:r>
      <w:r w:rsidR="00A254FD" w:rsidRPr="008900A2">
        <w:t xml:space="preserve">,  </w:t>
      </w:r>
      <w:r w:rsidR="002B78EA" w:rsidRPr="008900A2">
        <w:t>or</w:t>
      </w:r>
      <w:r w:rsidR="00A254FD" w:rsidRPr="008900A2">
        <w:t xml:space="preserve"> </w:t>
      </w:r>
      <w:r w:rsidR="00D7462E" w:rsidRPr="008900A2">
        <w:t>rural area</w:t>
      </w:r>
      <w:r w:rsidR="008A147B" w:rsidRPr="008900A2">
        <w:t xml:space="preserve">: </w:t>
      </w:r>
      <w:r w:rsidR="00D7462E" w:rsidRPr="008900A2">
        <w:t>encompasses all population housing and territory not included within an urban</w:t>
      </w:r>
      <w:r w:rsidR="00A254FD" w:rsidRPr="008900A2">
        <w:t xml:space="preserve"> or urban cluster area</w:t>
      </w:r>
      <w:r w:rsidR="00F71A85" w:rsidRPr="008900A2">
        <w:t xml:space="preserve"> </w:t>
      </w:r>
      <w:r w:rsidR="008A147B" w:rsidRPr="008900A2">
        <w:t>(</w:t>
      </w:r>
      <w:r w:rsidR="00D7462E" w:rsidRPr="008900A2">
        <w:fldChar w:fldCharType="begin"/>
      </w:r>
      <w:r w:rsidR="00D7462E" w:rsidRPr="008900A2">
        <w:instrText xml:space="preserve"> ADDIN ZOTERO_ITEM CSL_CITATION {"citationID":"NKrin68p","properties":{"formattedCitation":"(U.S. Census Bureau, 2010)","plainCitation":"(U.S. Census Bureau, 2010)","dontUpdate":true,"noteIndex":0},"citationItems":[{"id":9801,"uris":["http://zotero.org/users/3742053/items/GC67QPFW"],"uri":["http://zotero.org/users/3742053/items/GC67QPFW"],"itemData":{"id":9801,"type":"webpage","title":"Urban and Rural","URL":"https://www.census.gov/programs-surveys/geography/guidance/geo-areas/urban-rural.html","language":"EN-US","author":[{"family":"U.S. Census Bureau","given":""}],"issued":{"date-parts":[["2010"]]},"accessed":{"date-parts":[["2019",7,8]]}}}],"schema":"https://github.com/citation-style-language/schema/raw/master/csl-citation.json"} </w:instrText>
      </w:r>
      <w:r w:rsidR="00D7462E" w:rsidRPr="008900A2">
        <w:fldChar w:fldCharType="separate"/>
      </w:r>
      <w:r w:rsidR="00D7462E" w:rsidRPr="008900A2">
        <w:t>U.S. Census Bureau, 2010)</w:t>
      </w:r>
      <w:r w:rsidR="00D7462E" w:rsidRPr="008900A2">
        <w:fldChar w:fldCharType="end"/>
      </w:r>
      <w:r w:rsidR="00D7462E" w:rsidRPr="008900A2">
        <w:t>.</w:t>
      </w:r>
      <w:r w:rsidR="00A231B4" w:rsidRPr="008900A2">
        <w:t xml:space="preserve"> </w:t>
      </w:r>
      <w:r w:rsidR="008E21F8" w:rsidRPr="008900A2">
        <w:t xml:space="preserve">There were </w:t>
      </w:r>
      <w:r w:rsidR="00A231B4" w:rsidRPr="008900A2">
        <w:t>197 participants</w:t>
      </w:r>
      <w:r w:rsidR="008E21F8" w:rsidRPr="008900A2">
        <w:t xml:space="preserve"> who</w:t>
      </w:r>
      <w:r w:rsidR="00A231B4" w:rsidRPr="008900A2">
        <w:t xml:space="preserve"> answered the question asking them to describe the area where they live.</w:t>
      </w:r>
      <w:r w:rsidR="00D7462E" w:rsidRPr="008900A2">
        <w:t xml:space="preserve"> </w:t>
      </w:r>
      <w:r w:rsidR="00EA7ACB" w:rsidRPr="008900A2">
        <w:t>Eighty-seven</w:t>
      </w:r>
      <w:r w:rsidR="00D7462E" w:rsidRPr="008900A2">
        <w:t xml:space="preserve"> participants (</w:t>
      </w:r>
      <w:r w:rsidR="00A231B4" w:rsidRPr="008900A2">
        <w:t>38</w:t>
      </w:r>
      <w:r w:rsidR="00D7462E" w:rsidRPr="008900A2">
        <w:t>.</w:t>
      </w:r>
      <w:r w:rsidR="00A231B4" w:rsidRPr="008900A2">
        <w:t>7</w:t>
      </w:r>
      <w:r w:rsidR="00D7462E" w:rsidRPr="008900A2">
        <w:t>%) reported living in an urban cluster area, 25 participants (</w:t>
      </w:r>
      <w:r w:rsidR="00A231B4" w:rsidRPr="008900A2">
        <w:t>11</w:t>
      </w:r>
      <w:r w:rsidR="00D7462E" w:rsidRPr="008900A2">
        <w:t>.</w:t>
      </w:r>
      <w:r w:rsidR="00A231B4" w:rsidRPr="008900A2">
        <w:t>1</w:t>
      </w:r>
      <w:r w:rsidR="00D7462E" w:rsidRPr="008900A2">
        <w:t>%) reported living in a rural area, 7</w:t>
      </w:r>
      <w:r w:rsidR="00F70971" w:rsidRPr="008900A2">
        <w:t>2</w:t>
      </w:r>
      <w:r w:rsidR="00D7462E" w:rsidRPr="008900A2">
        <w:t xml:space="preserve"> participants (</w:t>
      </w:r>
      <w:r w:rsidR="00F70971" w:rsidRPr="008900A2">
        <w:t>32</w:t>
      </w:r>
      <w:r w:rsidR="00D7462E" w:rsidRPr="008900A2">
        <w:t>.</w:t>
      </w:r>
      <w:r w:rsidR="00F70971" w:rsidRPr="008900A2">
        <w:t>0</w:t>
      </w:r>
      <w:r w:rsidR="00D7462E" w:rsidRPr="008900A2">
        <w:t>%) reported living in an urban cluster area</w:t>
      </w:r>
      <w:r w:rsidR="00F70971" w:rsidRPr="008900A2">
        <w:t xml:space="preserve">, 13 (5.8%) preferred not to answer this question and 28 (12.4%) did not answer the question. </w:t>
      </w:r>
      <w:r w:rsidR="00D7462E" w:rsidRPr="008900A2">
        <w:t xml:space="preserve"> </w:t>
      </w:r>
      <w:r w:rsidR="00934873" w:rsidRPr="008900A2">
        <w:t xml:space="preserve">The average participant age was 30 and ranged from 19 to 73. All participants reported that their age was above 19, the </w:t>
      </w:r>
      <w:r w:rsidR="00EA0671">
        <w:t xml:space="preserve">Nebraska </w:t>
      </w:r>
      <w:r w:rsidR="00934873" w:rsidRPr="008900A2">
        <w:t>age of majority, but 73 participants did not disclose their age.</w:t>
      </w:r>
    </w:p>
    <w:p w14:paraId="24E1D62C" w14:textId="06E21228" w:rsidR="00934873" w:rsidRPr="008900A2" w:rsidRDefault="00DA555C" w:rsidP="00934873">
      <w:pPr>
        <w:spacing w:after="0" w:line="480" w:lineRule="auto"/>
        <w:ind w:firstLine="720"/>
      </w:pPr>
      <w:r w:rsidRPr="008900A2">
        <w:t>Participants were given space to describe their gender identity and then asked to select a forced</w:t>
      </w:r>
      <w:r w:rsidR="001B287C" w:rsidRPr="008900A2">
        <w:t>-</w:t>
      </w:r>
      <w:r w:rsidRPr="008900A2">
        <w:t xml:space="preserve">option category that best describes their gender identity. </w:t>
      </w:r>
      <w:r w:rsidR="001221CF" w:rsidRPr="008900A2">
        <w:t>Seventy-</w:t>
      </w:r>
      <w:r w:rsidR="002F79E4" w:rsidRPr="008900A2">
        <w:t>six</w:t>
      </w:r>
      <w:r w:rsidRPr="008900A2">
        <w:t xml:space="preserve"> (</w:t>
      </w:r>
      <w:r w:rsidR="001221CF" w:rsidRPr="008900A2">
        <w:t>3</w:t>
      </w:r>
      <w:r w:rsidR="002F79E4" w:rsidRPr="008900A2">
        <w:t>3</w:t>
      </w:r>
      <w:r w:rsidR="001221CF" w:rsidRPr="008900A2">
        <w:t>.</w:t>
      </w:r>
      <w:r w:rsidR="002F79E4" w:rsidRPr="008900A2">
        <w:t>6</w:t>
      </w:r>
      <w:r w:rsidRPr="008900A2">
        <w:t xml:space="preserve">%) identified as a transwoman/trans woman/MTF/woman, </w:t>
      </w:r>
      <w:r w:rsidR="001221CF" w:rsidRPr="008900A2">
        <w:t>76</w:t>
      </w:r>
      <w:r w:rsidR="002F79E4" w:rsidRPr="008900A2">
        <w:t xml:space="preserve"> </w:t>
      </w:r>
      <w:r w:rsidRPr="008900A2">
        <w:t>participants (3</w:t>
      </w:r>
      <w:r w:rsidR="002F79E4" w:rsidRPr="008900A2">
        <w:t>3</w:t>
      </w:r>
      <w:r w:rsidRPr="008900A2">
        <w:t>.</w:t>
      </w:r>
      <w:r w:rsidR="002F79E4" w:rsidRPr="008900A2">
        <w:t>6</w:t>
      </w:r>
      <w:r w:rsidRPr="008900A2">
        <w:t>%) selected transman/trans man/FTM/man, 4</w:t>
      </w:r>
      <w:r w:rsidR="001221CF" w:rsidRPr="008900A2">
        <w:t>6</w:t>
      </w:r>
      <w:r w:rsidRPr="008900A2">
        <w:t xml:space="preserve"> participants (2</w:t>
      </w:r>
      <w:r w:rsidR="001221CF" w:rsidRPr="008900A2">
        <w:t>1</w:t>
      </w:r>
      <w:r w:rsidRPr="008900A2">
        <w:t>.4%) identified as non-binary/gender nonconforming/genderqueer/agender/bigender/another gender minority</w:t>
      </w:r>
      <w:r w:rsidR="002B45EB" w:rsidRPr="008900A2">
        <w:t xml:space="preserve">, and </w:t>
      </w:r>
      <w:r w:rsidR="002F79E4" w:rsidRPr="008900A2">
        <w:t>2</w:t>
      </w:r>
      <w:r w:rsidR="001D2F18" w:rsidRPr="008900A2">
        <w:t>7</w:t>
      </w:r>
      <w:r w:rsidR="002B45EB" w:rsidRPr="008900A2">
        <w:t xml:space="preserve"> participant</w:t>
      </w:r>
      <w:r w:rsidR="001221CF" w:rsidRPr="008900A2">
        <w:t>s</w:t>
      </w:r>
      <w:r w:rsidR="002B45EB" w:rsidRPr="008900A2">
        <w:t xml:space="preserve"> (</w:t>
      </w:r>
      <w:r w:rsidR="002F79E4" w:rsidRPr="008900A2">
        <w:t>12</w:t>
      </w:r>
      <w:r w:rsidR="002B45EB" w:rsidRPr="008900A2">
        <w:t>%) chose not to answer</w:t>
      </w:r>
      <w:r w:rsidRPr="008900A2">
        <w:t xml:space="preserve"> in the forced choice</w:t>
      </w:r>
      <w:r w:rsidR="008F26D8" w:rsidRPr="008900A2">
        <w:t>. A</w:t>
      </w:r>
      <w:r w:rsidRPr="008900A2">
        <w:t xml:space="preserve"> much broader array of identities</w:t>
      </w:r>
      <w:r w:rsidR="008F26D8" w:rsidRPr="008900A2">
        <w:t xml:space="preserve"> that are too diverse to categorize for quantitative analyses were reflected</w:t>
      </w:r>
      <w:r w:rsidRPr="008900A2">
        <w:t xml:space="preserve"> in the free response space</w:t>
      </w:r>
      <w:r w:rsidR="00ED0109" w:rsidRPr="008900A2">
        <w:t>.</w:t>
      </w:r>
      <w:r w:rsidRPr="008900A2">
        <w:t xml:space="preserve">  </w:t>
      </w:r>
    </w:p>
    <w:p w14:paraId="75E430EB" w14:textId="1A8CD223" w:rsidR="00DA555C" w:rsidRPr="008900A2" w:rsidRDefault="00DA555C" w:rsidP="00AF1662">
      <w:pPr>
        <w:spacing w:after="0" w:line="480" w:lineRule="auto"/>
        <w:ind w:firstLine="720"/>
      </w:pPr>
      <w:r w:rsidRPr="008900A2">
        <w:t xml:space="preserve">A wide range of sexual orientations were represented in the sample: </w:t>
      </w:r>
      <w:r w:rsidR="002F79E4" w:rsidRPr="008900A2">
        <w:t xml:space="preserve">97 </w:t>
      </w:r>
      <w:r w:rsidRPr="008900A2">
        <w:t>participants (4</w:t>
      </w:r>
      <w:r w:rsidR="0030361B" w:rsidRPr="008900A2">
        <w:t>3</w:t>
      </w:r>
      <w:r w:rsidRPr="008900A2">
        <w:t>.</w:t>
      </w:r>
      <w:r w:rsidR="0030361B" w:rsidRPr="008900A2">
        <w:t>1</w:t>
      </w:r>
      <w:r w:rsidRPr="008900A2">
        <w:t>%) identified as straight</w:t>
      </w:r>
      <w:r w:rsidR="00A254FD" w:rsidRPr="008900A2">
        <w:t>/heterosexual</w:t>
      </w:r>
      <w:r w:rsidRPr="008900A2">
        <w:t>, 3</w:t>
      </w:r>
      <w:r w:rsidR="002F79E4" w:rsidRPr="008900A2">
        <w:t>2</w:t>
      </w:r>
      <w:r w:rsidR="00D029FC" w:rsidRPr="008900A2">
        <w:t xml:space="preserve"> </w:t>
      </w:r>
      <w:r w:rsidRPr="008900A2">
        <w:t>participants (</w:t>
      </w:r>
      <w:r w:rsidR="002F79E4" w:rsidRPr="008900A2">
        <w:t>14</w:t>
      </w:r>
      <w:r w:rsidR="00D029FC" w:rsidRPr="008900A2">
        <w:t>.</w:t>
      </w:r>
      <w:r w:rsidR="002F79E4" w:rsidRPr="008900A2">
        <w:t>2</w:t>
      </w:r>
      <w:r w:rsidRPr="008900A2">
        <w:t xml:space="preserve">%) as gay, </w:t>
      </w:r>
      <w:r w:rsidR="00D029FC" w:rsidRPr="008900A2">
        <w:t xml:space="preserve">21 </w:t>
      </w:r>
      <w:r w:rsidRPr="008900A2">
        <w:t>participants (</w:t>
      </w:r>
      <w:r w:rsidR="002F79E4" w:rsidRPr="008900A2">
        <w:t>9.3</w:t>
      </w:r>
      <w:r w:rsidRPr="008900A2">
        <w:t>%) as bisexual, 16 participants (</w:t>
      </w:r>
      <w:r w:rsidR="002F79E4" w:rsidRPr="008900A2">
        <w:t>7.1</w:t>
      </w:r>
      <w:r w:rsidRPr="008900A2">
        <w:t>%) as lesbian, 15 participants (</w:t>
      </w:r>
      <w:r w:rsidR="002F79E4" w:rsidRPr="008900A2">
        <w:t>6.</w:t>
      </w:r>
      <w:r w:rsidR="00F31B36" w:rsidRPr="008900A2">
        <w:t>7</w:t>
      </w:r>
      <w:r w:rsidRPr="008900A2">
        <w:t>%) as queer, 6 participants (</w:t>
      </w:r>
      <w:r w:rsidR="002F79E4" w:rsidRPr="008900A2">
        <w:t>2.7</w:t>
      </w:r>
      <w:r w:rsidRPr="008900A2">
        <w:t>%) as pansexual, and 4 participants (</w:t>
      </w:r>
      <w:r w:rsidR="00CC2FA1" w:rsidRPr="008900A2">
        <w:t>1.8</w:t>
      </w:r>
      <w:r w:rsidRPr="008900A2">
        <w:t>%) as asexual. Six participants (</w:t>
      </w:r>
      <w:r w:rsidR="00CC2FA1" w:rsidRPr="008900A2">
        <w:t>2.7</w:t>
      </w:r>
      <w:r w:rsidRPr="008900A2">
        <w:t xml:space="preserve">%) offered their own description of their sexual orientation which included “celibate,” “gray asexual,” “homoflexible (mostly gay),” “interested in women,” “queer,” and “self-sexual only, but attracted to queer females and nonbinary AFAB.” </w:t>
      </w:r>
      <w:r w:rsidR="00CC2FA1" w:rsidRPr="008900A2">
        <w:t>Twenty-</w:t>
      </w:r>
      <w:r w:rsidR="00ED6711" w:rsidRPr="008900A2">
        <w:t>eight</w:t>
      </w:r>
      <w:r w:rsidR="00CC2FA1" w:rsidRPr="008900A2">
        <w:t xml:space="preserve"> </w:t>
      </w:r>
      <w:r w:rsidR="00902245" w:rsidRPr="008900A2">
        <w:t xml:space="preserve">(12.4%) </w:t>
      </w:r>
      <w:r w:rsidR="00CC2FA1" w:rsidRPr="008900A2">
        <w:t xml:space="preserve">participants did not answer the question about their sexual orientation. </w:t>
      </w:r>
    </w:p>
    <w:p w14:paraId="270F3AF1" w14:textId="2CBD6967" w:rsidR="004E7FD3" w:rsidRPr="008900A2" w:rsidRDefault="00DA555C" w:rsidP="004E7FD3">
      <w:pPr>
        <w:spacing w:line="480" w:lineRule="auto"/>
      </w:pPr>
      <w:r w:rsidRPr="008900A2">
        <w:tab/>
      </w:r>
      <w:r w:rsidR="004E7FD3" w:rsidRPr="008900A2">
        <w:t xml:space="preserve">Eleven (4.9%) participants identified as African American/Black, six (4.0%) participants identified as Asian American including Pacific Islander, 149 (66.2%) participants identified as European American/Caucasian/White, two (0.90%) participants identified as Hispanic, 10 (4.4%) identified as Latino/a/x, and ten (2.71%) participants identified as Native American/American Indian, Alaskan Native. Eleven participants (4.9%) selected at least two racial/ethnic identity categories suggesting a biracial or multiracial identity with one of these participants writing “multiracial.” Twenty-eight (12.4%) participants did not answer the question describing their race/ethnicity. </w:t>
      </w:r>
    </w:p>
    <w:p w14:paraId="20D9C0A5" w14:textId="169A75CD" w:rsidR="001017CA" w:rsidRPr="008900A2" w:rsidRDefault="00DA555C" w:rsidP="00AF1662">
      <w:pPr>
        <w:spacing w:after="0" w:line="480" w:lineRule="auto"/>
      </w:pPr>
      <w:r w:rsidRPr="008900A2">
        <w:tab/>
      </w:r>
      <w:r w:rsidRPr="008900A2">
        <w:rPr>
          <w:b/>
        </w:rPr>
        <w:t xml:space="preserve">Procedure. </w:t>
      </w:r>
      <w:r w:rsidR="00E22703" w:rsidRPr="008900A2">
        <w:t>D</w:t>
      </w:r>
      <w:r w:rsidR="003E7B70" w:rsidRPr="008900A2">
        <w:t>ata</w:t>
      </w:r>
      <w:r w:rsidR="002B45EB" w:rsidRPr="008900A2">
        <w:t xml:space="preserve"> were collected</w:t>
      </w:r>
      <w:r w:rsidR="00E22703" w:rsidRPr="008900A2">
        <w:t xml:space="preserve"> as part of a larger study</w:t>
      </w:r>
      <w:r w:rsidR="002B45EB" w:rsidRPr="008900A2">
        <w:t xml:space="preserve"> in October and November 2017</w:t>
      </w:r>
      <w:r w:rsidR="003E7B70" w:rsidRPr="008900A2">
        <w:t xml:space="preserve">. </w:t>
      </w:r>
      <w:r w:rsidRPr="008900A2">
        <w:t xml:space="preserve">Recruitment emails were sent to LGBT organizations across the United States and posted to LGBT list-serves and social media that included an anonymous link to the survey, hosted on Qualtrics. The recruitment notice called for </w:t>
      </w:r>
      <w:r w:rsidR="00EB4230" w:rsidRPr="008900A2">
        <w:t>TGD</w:t>
      </w:r>
      <w:r w:rsidRPr="008900A2">
        <w:t xml:space="preserve">-identified participants over the age of 19 to participate in a study that paid participants $10. Individuals who accessed the link confirmed they identified as </w:t>
      </w:r>
      <w:r w:rsidR="00EB4230" w:rsidRPr="008900A2">
        <w:t>TGD</w:t>
      </w:r>
      <w:r w:rsidRPr="008900A2">
        <w:t xml:space="preserve"> or another gender minority and </w:t>
      </w:r>
      <w:r w:rsidR="00CE22CD" w:rsidRPr="008900A2">
        <w:t>met the age criterion</w:t>
      </w:r>
      <w:r w:rsidRPr="008900A2">
        <w:t>. Those who consented proceeded to the survey. Participants completed</w:t>
      </w:r>
      <w:r w:rsidR="003E7B70" w:rsidRPr="008900A2">
        <w:t xml:space="preserve"> </w:t>
      </w:r>
      <w:r w:rsidR="009F1636" w:rsidRPr="008900A2">
        <w:t>series of questionnaires assessing</w:t>
      </w:r>
      <w:r w:rsidRPr="008900A2">
        <w:t xml:space="preserve"> depressive symptoms, anxiety </w:t>
      </w:r>
      <w:r w:rsidR="00B2301D" w:rsidRPr="008900A2">
        <w:t>marginalization</w:t>
      </w:r>
      <w:r w:rsidRPr="008900A2">
        <w:t xml:space="preserve"> stress</w:t>
      </w:r>
      <w:r w:rsidR="00A254FD" w:rsidRPr="008900A2">
        <w:t xml:space="preserve"> and protective factors</w:t>
      </w:r>
      <w:r w:rsidR="003E7B70" w:rsidRPr="008900A2">
        <w:t>, and</w:t>
      </w:r>
      <w:r w:rsidR="00701E7D" w:rsidRPr="008900A2">
        <w:t xml:space="preserve"> some measures used for another study from this datas</w:t>
      </w:r>
      <w:r w:rsidR="00134495">
        <w:t>et (Holt et al., 2019</w:t>
      </w:r>
      <w:r w:rsidR="003E7B70" w:rsidRPr="008900A2">
        <w:t xml:space="preserve">). </w:t>
      </w:r>
      <w:r w:rsidRPr="008900A2">
        <w:t>The individual measures were presented to each participant in a random order to reduce order effects. Participants then completed demographics and two measures on gender embodiment and naming, unrelated to the current study</w:t>
      </w:r>
      <w:r w:rsidR="00CE22CD" w:rsidRPr="008900A2">
        <w:t xml:space="preserve"> (</w:t>
      </w:r>
      <w:r w:rsidR="006C7228">
        <w:t>Obasi et al., 2019</w:t>
      </w:r>
      <w:r w:rsidR="00CE22CD" w:rsidRPr="008900A2">
        <w:t>)</w:t>
      </w:r>
      <w:r w:rsidRPr="008900A2">
        <w:t>. Participants who opted to provide an email address were sent a $10 online gift card within 24 hours. After payment, participants’ email addresses were deleted from the data set.</w:t>
      </w:r>
    </w:p>
    <w:p w14:paraId="45685B6F" w14:textId="305EA852" w:rsidR="008E2EA5" w:rsidRPr="008900A2" w:rsidRDefault="007226CB" w:rsidP="00AF1662">
      <w:pPr>
        <w:spacing w:after="0" w:line="480" w:lineRule="auto"/>
        <w:rPr>
          <w:shd w:val="clear" w:color="auto" w:fill="FFFFFF"/>
        </w:rPr>
      </w:pPr>
      <w:r w:rsidRPr="008900A2">
        <w:rPr>
          <w:shd w:val="clear" w:color="auto" w:fill="FFFFFF"/>
        </w:rPr>
        <w:tab/>
        <w:t>Two-hundred and ninety-seven people opened the survey, 270 people consented to participate, and 22</w:t>
      </w:r>
      <w:r w:rsidR="00B93CB0" w:rsidRPr="008900A2">
        <w:rPr>
          <w:shd w:val="clear" w:color="auto" w:fill="FFFFFF"/>
        </w:rPr>
        <w:t>5</w:t>
      </w:r>
      <w:r w:rsidRPr="008900A2">
        <w:rPr>
          <w:shd w:val="clear" w:color="auto" w:fill="FFFFFF"/>
        </w:rPr>
        <w:t xml:space="preserve"> participants answered at least one measure included in the analyses within the survey. Examination of Qualtrics metadata and reported demographics indicated the 225 included no duplicate responses. Median completion time for the 225 participants was 23.58 minutes. One hundred and</w:t>
      </w:r>
      <w:r w:rsidR="00086D89" w:rsidRPr="008900A2">
        <w:rPr>
          <w:shd w:val="clear" w:color="auto" w:fill="FFFFFF"/>
        </w:rPr>
        <w:t xml:space="preserve"> </w:t>
      </w:r>
      <w:r w:rsidRPr="008900A2">
        <w:rPr>
          <w:shd w:val="clear" w:color="auto" w:fill="FFFFFF"/>
        </w:rPr>
        <w:t>ninety-nine people opted to provide an email address</w:t>
      </w:r>
      <w:r w:rsidR="00086D89" w:rsidRPr="008900A2">
        <w:rPr>
          <w:shd w:val="clear" w:color="auto" w:fill="FFFFFF"/>
        </w:rPr>
        <w:t xml:space="preserve"> </w:t>
      </w:r>
      <w:r w:rsidRPr="008900A2">
        <w:rPr>
          <w:shd w:val="clear" w:color="auto" w:fill="FFFFFF"/>
        </w:rPr>
        <w:t>for payment purposes.</w:t>
      </w:r>
    </w:p>
    <w:p w14:paraId="7E93951A" w14:textId="1C495C58" w:rsidR="005041CD" w:rsidRPr="008900A2" w:rsidRDefault="00DA555C" w:rsidP="00AF1662">
      <w:pPr>
        <w:spacing w:after="0" w:line="480" w:lineRule="auto"/>
        <w:rPr>
          <w:b/>
        </w:rPr>
      </w:pPr>
      <w:r w:rsidRPr="008900A2">
        <w:rPr>
          <w:b/>
        </w:rPr>
        <w:t>Measures</w:t>
      </w:r>
    </w:p>
    <w:p w14:paraId="1B675845" w14:textId="5C952D17" w:rsidR="00DA555C" w:rsidRPr="008900A2" w:rsidRDefault="00DA555C" w:rsidP="00AF1662">
      <w:pPr>
        <w:spacing w:after="0" w:line="480" w:lineRule="auto"/>
        <w:ind w:firstLine="720"/>
      </w:pPr>
      <w:r w:rsidRPr="008900A2">
        <w:rPr>
          <w:b/>
        </w:rPr>
        <w:t>Depressive symptoms</w:t>
      </w:r>
      <w:r w:rsidR="00A22B87" w:rsidRPr="008900A2">
        <w:rPr>
          <w:b/>
        </w:rPr>
        <w:t xml:space="preserve"> and suicidal ideation</w:t>
      </w:r>
      <w:r w:rsidRPr="008900A2">
        <w:rPr>
          <w:b/>
        </w:rPr>
        <w:t xml:space="preserve">. </w:t>
      </w:r>
      <w:r w:rsidR="00066FAF" w:rsidRPr="008900A2">
        <w:t xml:space="preserve">The </w:t>
      </w:r>
      <w:r w:rsidR="00A26984" w:rsidRPr="008900A2">
        <w:t>Patient Health Questionnaire-9 (</w:t>
      </w:r>
      <w:r w:rsidR="00066FAF" w:rsidRPr="008900A2">
        <w:t>PHQ-9</w:t>
      </w:r>
      <w:r w:rsidR="00A26984" w:rsidRPr="008900A2">
        <w:t>)</w:t>
      </w:r>
      <w:r w:rsidR="00066FAF" w:rsidRPr="008900A2">
        <w:t xml:space="preserve"> is a 9-item</w:t>
      </w:r>
      <w:r w:rsidR="001B287C" w:rsidRPr="008900A2">
        <w:t>,</w:t>
      </w:r>
      <w:r w:rsidR="00066FAF" w:rsidRPr="008900A2">
        <w:t xml:space="preserve"> self-report scale </w:t>
      </w:r>
      <w:r w:rsidR="0085412B" w:rsidRPr="008900A2">
        <w:t>that assesses depression symptom severity</w:t>
      </w:r>
      <w:r w:rsidR="00066FAF" w:rsidRPr="008900A2">
        <w:t>. The scale asks respondents to record how bothered they were by each symptom in the past 2 weeks on a scale ranging from 0-3 (0</w:t>
      </w:r>
      <w:r w:rsidR="00F71A85" w:rsidRPr="008900A2">
        <w:t xml:space="preserve"> </w:t>
      </w:r>
      <w:r w:rsidR="00066FAF" w:rsidRPr="008900A2">
        <w:t>= “Not at all”, 1</w:t>
      </w:r>
      <w:r w:rsidR="00F71A85" w:rsidRPr="008900A2">
        <w:t xml:space="preserve"> </w:t>
      </w:r>
      <w:r w:rsidR="00066FAF" w:rsidRPr="008900A2">
        <w:t>= “Several days”, 2</w:t>
      </w:r>
      <w:r w:rsidR="00F71A85" w:rsidRPr="008900A2">
        <w:t xml:space="preserve"> </w:t>
      </w:r>
      <w:r w:rsidR="00066FAF" w:rsidRPr="008900A2">
        <w:t>= “More than half the days”, 3</w:t>
      </w:r>
      <w:r w:rsidR="00F71A85" w:rsidRPr="008900A2">
        <w:t xml:space="preserve"> </w:t>
      </w:r>
      <w:r w:rsidR="00066FAF" w:rsidRPr="008900A2">
        <w:t>= “Nearly every day”).</w:t>
      </w:r>
      <w:r w:rsidR="00353EC9" w:rsidRPr="008900A2">
        <w:t xml:space="preserve"> </w:t>
      </w:r>
      <w:r w:rsidR="005F762A" w:rsidRPr="008900A2">
        <w:t xml:space="preserve">Item 9 on the PHQ-9 assesses for suicidal ideation and was used to represent suicidal ideation in the analyses. </w:t>
      </w:r>
      <w:r w:rsidR="00066FAF" w:rsidRPr="008900A2">
        <w:t xml:space="preserve">The PHQ-9 has displayed excellent internal consistency (Cronbach’s α = .86-.89; </w:t>
      </w:r>
      <w:r w:rsidR="00A44326" w:rsidRPr="008900A2">
        <w:t>Kroenke</w:t>
      </w:r>
      <w:r w:rsidR="00820DD6" w:rsidRPr="008900A2">
        <w:t xml:space="preserve"> et al.</w:t>
      </w:r>
      <w:r w:rsidR="00A44326" w:rsidRPr="008900A2">
        <w:t xml:space="preserve">, 2001) </w:t>
      </w:r>
      <w:r w:rsidR="00066FAF" w:rsidRPr="008900A2">
        <w:t xml:space="preserve">and excellent test-retest reliability </w:t>
      </w:r>
      <w:r w:rsidR="004E4BA5" w:rsidRPr="008900A2">
        <w:t>(Kroenke et al., 2001)</w:t>
      </w:r>
      <w:r w:rsidR="00A44326" w:rsidRPr="008900A2">
        <w:t xml:space="preserve">. </w:t>
      </w:r>
      <w:r w:rsidRPr="008900A2">
        <w:t xml:space="preserve">The PHQ-9 has previously been used with </w:t>
      </w:r>
      <w:r w:rsidR="00EB4230" w:rsidRPr="008900A2">
        <w:t>TGD</w:t>
      </w:r>
      <w:r w:rsidRPr="008900A2">
        <w:t xml:space="preserve"> samples </w:t>
      </w:r>
      <w:r w:rsidR="004E3F97" w:rsidRPr="008900A2">
        <w:t>(</w:t>
      </w:r>
      <w:proofErr w:type="spellStart"/>
      <w:r w:rsidR="004E3F97" w:rsidRPr="008900A2">
        <w:t>Bazargan</w:t>
      </w:r>
      <w:proofErr w:type="spellEnd"/>
      <w:r w:rsidR="004E3F97" w:rsidRPr="008900A2">
        <w:t xml:space="preserve"> &amp; Galvan, 2012; Tucker et al., 2018)</w:t>
      </w:r>
      <w:r w:rsidRPr="008900A2">
        <w:t xml:space="preserve">. Internal consistency for the current sample was good </w:t>
      </w:r>
      <w:r w:rsidR="0085412B" w:rsidRPr="008900A2">
        <w:t>(α</w:t>
      </w:r>
      <w:r w:rsidR="0084194C" w:rsidRPr="008900A2">
        <w:t xml:space="preserve"> =</w:t>
      </w:r>
      <w:r w:rsidRPr="008900A2">
        <w:t>.8</w:t>
      </w:r>
      <w:r w:rsidR="00A26984" w:rsidRPr="008900A2">
        <w:t>4</w:t>
      </w:r>
      <w:r w:rsidR="0085412B" w:rsidRPr="008900A2">
        <w:t>)</w:t>
      </w:r>
      <w:r w:rsidRPr="008900A2">
        <w:t>.</w:t>
      </w:r>
    </w:p>
    <w:p w14:paraId="66B205E9" w14:textId="09375E48" w:rsidR="00DA555C" w:rsidRPr="008900A2" w:rsidRDefault="002D464D" w:rsidP="00AF1662">
      <w:pPr>
        <w:spacing w:after="0" w:line="480" w:lineRule="auto"/>
      </w:pPr>
      <w:r w:rsidRPr="008900A2">
        <w:rPr>
          <w:b/>
          <w:i/>
        </w:rPr>
        <w:tab/>
      </w:r>
      <w:r w:rsidR="00DA555C" w:rsidRPr="008900A2">
        <w:rPr>
          <w:b/>
        </w:rPr>
        <w:t xml:space="preserve">Anxiety symptoms. </w:t>
      </w:r>
      <w:r w:rsidR="000B2CCE" w:rsidRPr="008900A2">
        <w:t>The GAD-7 is a 7-item</w:t>
      </w:r>
      <w:r w:rsidR="001B287C" w:rsidRPr="008900A2">
        <w:t>,</w:t>
      </w:r>
      <w:r w:rsidR="000B2CCE" w:rsidRPr="008900A2">
        <w:t xml:space="preserve"> self-report </w:t>
      </w:r>
      <w:r w:rsidR="0085412B" w:rsidRPr="008900A2">
        <w:t>measure of</w:t>
      </w:r>
      <w:r w:rsidR="000B2CCE" w:rsidRPr="008900A2">
        <w:t xml:space="preserve"> generalized anxiety disorder (GAD)</w:t>
      </w:r>
      <w:r w:rsidR="0085412B" w:rsidRPr="008900A2">
        <w:t xml:space="preserve"> symptoms</w:t>
      </w:r>
      <w:r w:rsidR="000B2CCE" w:rsidRPr="008900A2">
        <w:t>. The scale asks respondents to record how bothered they were by each symptom in the past 2 weeks on a scale ranging from 0-3 (0</w:t>
      </w:r>
      <w:r w:rsidR="00AE6135" w:rsidRPr="008900A2">
        <w:t xml:space="preserve"> </w:t>
      </w:r>
      <w:r w:rsidR="000B2CCE" w:rsidRPr="008900A2">
        <w:t>= “Not at all”, 1</w:t>
      </w:r>
      <w:r w:rsidR="00AE6135" w:rsidRPr="008900A2">
        <w:t xml:space="preserve"> </w:t>
      </w:r>
      <w:r w:rsidR="000B2CCE" w:rsidRPr="008900A2">
        <w:t>= “Several days”, 2</w:t>
      </w:r>
      <w:r w:rsidR="00AE6135" w:rsidRPr="008900A2">
        <w:t xml:space="preserve"> </w:t>
      </w:r>
      <w:r w:rsidR="000B2CCE" w:rsidRPr="008900A2">
        <w:t>= “More than half the days”, 3</w:t>
      </w:r>
      <w:r w:rsidR="00AE6135" w:rsidRPr="008900A2">
        <w:t xml:space="preserve"> </w:t>
      </w:r>
      <w:r w:rsidR="000B2CCE" w:rsidRPr="008900A2">
        <w:t>= “Nearly every day”).</w:t>
      </w:r>
      <w:r w:rsidR="00353EC9" w:rsidRPr="008900A2">
        <w:t xml:space="preserve"> </w:t>
      </w:r>
      <w:r w:rsidR="000B2CCE" w:rsidRPr="008900A2">
        <w:t xml:space="preserve">The GAD-7 has displayed excellent internal consistency (Cronbach’s α = .92; </w:t>
      </w:r>
      <w:r w:rsidR="004E4BA5" w:rsidRPr="008900A2">
        <w:t>Spitzer</w:t>
      </w:r>
      <w:r w:rsidR="00820DD6" w:rsidRPr="008900A2">
        <w:t xml:space="preserve"> et al.</w:t>
      </w:r>
      <w:r w:rsidR="004E4BA5" w:rsidRPr="008900A2">
        <w:t>, 2006)</w:t>
      </w:r>
      <w:r w:rsidR="000B2CCE" w:rsidRPr="008900A2">
        <w:t xml:space="preserve"> and good test-retest </w:t>
      </w:r>
      <w:r w:rsidR="00820DD6" w:rsidRPr="008900A2">
        <w:t>al</w:t>
      </w:r>
      <w:r w:rsidR="000B2CCE" w:rsidRPr="008900A2">
        <w:t>t reliability (</w:t>
      </w:r>
      <w:r w:rsidR="000B2CCE" w:rsidRPr="008900A2">
        <w:rPr>
          <w:i/>
          <w:iCs/>
        </w:rPr>
        <w:t>r</w:t>
      </w:r>
      <w:r w:rsidR="000B2CCE" w:rsidRPr="008900A2">
        <w:t xml:space="preserve"> = .83; </w:t>
      </w:r>
      <w:r w:rsidR="004E4BA5" w:rsidRPr="008900A2">
        <w:t>Spitzer et al., 2006)</w:t>
      </w:r>
      <w:r w:rsidR="000B2CCE" w:rsidRPr="008900A2">
        <w:t>. The GAD-7 has also demonstrated good convergent validity with other measures of anxiety. For example, the Beck Anxiety Inventory (</w:t>
      </w:r>
      <w:r w:rsidR="000B2CCE" w:rsidRPr="008900A2">
        <w:rPr>
          <w:i/>
          <w:iCs/>
        </w:rPr>
        <w:t>r</w:t>
      </w:r>
      <w:r w:rsidR="00A55F1C" w:rsidRPr="008900A2">
        <w:t xml:space="preserve"> </w:t>
      </w:r>
      <w:r w:rsidR="000B2CCE" w:rsidRPr="008900A2">
        <w:t>=</w:t>
      </w:r>
      <w:r w:rsidR="00A55F1C" w:rsidRPr="008900A2">
        <w:t xml:space="preserve"> </w:t>
      </w:r>
      <w:r w:rsidR="000B2CCE" w:rsidRPr="008900A2">
        <w:t xml:space="preserve">.72; </w:t>
      </w:r>
      <w:r w:rsidR="005822FA" w:rsidRPr="008900A2">
        <w:t>Spitzer et al., 2006)</w:t>
      </w:r>
      <w:r w:rsidR="00701E7D" w:rsidRPr="008900A2">
        <w:t xml:space="preserve"> </w:t>
      </w:r>
      <w:r w:rsidR="000B2CCE" w:rsidRPr="008900A2">
        <w:t>and the anxiety subscale of the Symptom Checklist-90 (</w:t>
      </w:r>
      <w:r w:rsidR="000B2CCE" w:rsidRPr="008900A2">
        <w:rPr>
          <w:i/>
          <w:iCs/>
        </w:rPr>
        <w:t>r</w:t>
      </w:r>
      <w:r w:rsidR="00A55F1C" w:rsidRPr="008900A2">
        <w:t xml:space="preserve"> </w:t>
      </w:r>
      <w:r w:rsidR="000B2CCE" w:rsidRPr="008900A2">
        <w:t>=</w:t>
      </w:r>
      <w:r w:rsidR="00A55F1C" w:rsidRPr="008900A2">
        <w:t xml:space="preserve"> </w:t>
      </w:r>
      <w:r w:rsidR="000B2CCE" w:rsidRPr="008900A2">
        <w:t xml:space="preserve">.72; </w:t>
      </w:r>
      <w:r w:rsidR="005822FA" w:rsidRPr="008900A2">
        <w:t xml:space="preserve">Spitzer et al., 2006). </w:t>
      </w:r>
      <w:r w:rsidR="00DA555C" w:rsidRPr="008900A2">
        <w:t>In the current sample, internal consistency was good (</w:t>
      </w:r>
      <w:r w:rsidR="00DA555C" w:rsidRPr="008900A2">
        <w:sym w:font="Symbol" w:char="F061"/>
      </w:r>
      <w:r w:rsidR="00DA555C" w:rsidRPr="008900A2">
        <w:t xml:space="preserve"> = .</w:t>
      </w:r>
      <w:r w:rsidR="000B2CCE" w:rsidRPr="008900A2">
        <w:t>81</w:t>
      </w:r>
      <w:r w:rsidR="00DA555C" w:rsidRPr="008900A2">
        <w:t>).</w:t>
      </w:r>
      <w:r w:rsidR="00A254FD" w:rsidRPr="008900A2">
        <w:t xml:space="preserve"> The GAD-7 has previously been used in TGD samples (</w:t>
      </w:r>
      <w:proofErr w:type="spellStart"/>
      <w:r w:rsidR="00A254FD" w:rsidRPr="008900A2">
        <w:t>Borgogna</w:t>
      </w:r>
      <w:proofErr w:type="spellEnd"/>
      <w:r w:rsidR="003E4DD9" w:rsidRPr="008900A2">
        <w:t xml:space="preserve"> et al., 2018). </w:t>
      </w:r>
    </w:p>
    <w:p w14:paraId="5FD42AC8" w14:textId="2F324C72" w:rsidR="00DA555C" w:rsidRPr="008900A2" w:rsidRDefault="00DA555C" w:rsidP="00AF1662">
      <w:pPr>
        <w:spacing w:after="0" w:line="480" w:lineRule="auto"/>
        <w:ind w:firstLine="720"/>
      </w:pPr>
      <w:r w:rsidRPr="008900A2">
        <w:rPr>
          <w:b/>
        </w:rPr>
        <w:t>Gender-related reflection and rumination.</w:t>
      </w:r>
      <w:r w:rsidRPr="008900A2">
        <w:rPr>
          <w:b/>
          <w:i/>
        </w:rPr>
        <w:t xml:space="preserve"> </w:t>
      </w:r>
      <w:r w:rsidRPr="008900A2">
        <w:t xml:space="preserve">The Gender Identity Reflection and Rumination Scale (GIRRS; </w:t>
      </w:r>
      <w:proofErr w:type="spellStart"/>
      <w:r w:rsidR="00CA1E75" w:rsidRPr="008900A2">
        <w:t>Bauerband</w:t>
      </w:r>
      <w:proofErr w:type="spellEnd"/>
      <w:r w:rsidR="00CA1E75" w:rsidRPr="008900A2">
        <w:t xml:space="preserve"> &amp; </w:t>
      </w:r>
      <w:proofErr w:type="spellStart"/>
      <w:r w:rsidR="00CA1E75" w:rsidRPr="008900A2">
        <w:t>Galupo</w:t>
      </w:r>
      <w:proofErr w:type="spellEnd"/>
      <w:r w:rsidR="00CA1E75" w:rsidRPr="008900A2">
        <w:t xml:space="preserve">, 2014) </w:t>
      </w:r>
      <w:r w:rsidR="00701E7D" w:rsidRPr="008900A2">
        <w:t>assessed</w:t>
      </w:r>
      <w:r w:rsidRPr="008900A2">
        <w:t xml:space="preserve"> how often participants think about their gender identity and </w:t>
      </w:r>
      <w:r w:rsidR="00AE6135" w:rsidRPr="008900A2">
        <w:t>w</w:t>
      </w:r>
      <w:r w:rsidRPr="008900A2">
        <w:t>as a marker of gender-related emotion regulation. The GIRRS includes 15 items that span three subscales: reflection about gender identity, rumination about gender identity, and preoccupation with other’s thinking. Higher scores suggest greater thinking, either positively or negatively, about one’s gender identity. Internal consistency for the</w:t>
      </w:r>
      <w:r w:rsidR="00FC0AE0" w:rsidRPr="008900A2">
        <w:t xml:space="preserve"> </w:t>
      </w:r>
      <w:r w:rsidRPr="008900A2">
        <w:t>subscale</w:t>
      </w:r>
      <w:r w:rsidR="00602D43" w:rsidRPr="008900A2">
        <w:t xml:space="preserve">s ranged from </w:t>
      </w:r>
      <w:r w:rsidR="00503D60" w:rsidRPr="008900A2">
        <w:t xml:space="preserve">poor to </w:t>
      </w:r>
      <w:r w:rsidR="00A26984" w:rsidRPr="008900A2">
        <w:t>fair</w:t>
      </w:r>
      <w:r w:rsidR="0084194C" w:rsidRPr="008900A2">
        <w:t xml:space="preserve"> </w:t>
      </w:r>
      <w:r w:rsidR="00503D60" w:rsidRPr="008900A2">
        <w:t>(</w:t>
      </w:r>
      <w:r w:rsidR="00F04BED" w:rsidRPr="008900A2">
        <w:sym w:font="Symbol" w:char="F061"/>
      </w:r>
      <w:r w:rsidR="00F04BED" w:rsidRPr="008900A2">
        <w:t xml:space="preserve"> = </w:t>
      </w:r>
      <w:r w:rsidR="00A26984" w:rsidRPr="008900A2">
        <w:t>.55 for reflection</w:t>
      </w:r>
      <w:r w:rsidR="00EC6387" w:rsidRPr="008900A2">
        <w:t xml:space="preserve">, </w:t>
      </w:r>
      <w:r w:rsidR="00A26984" w:rsidRPr="008900A2">
        <w:t>.61 for preoccupation, and .71 for rumination</w:t>
      </w:r>
      <w:r w:rsidR="00503D60" w:rsidRPr="008900A2">
        <w:t>)</w:t>
      </w:r>
      <w:r w:rsidR="00FC0AE0" w:rsidRPr="008900A2">
        <w:t>.</w:t>
      </w:r>
      <w:r w:rsidR="00A26984" w:rsidRPr="008900A2">
        <w:t xml:space="preserve"> As such, due to the poor internal consistency for gender-related reflection and preoccupation these variables</w:t>
      </w:r>
      <w:r w:rsidR="00CE22CD" w:rsidRPr="008900A2">
        <w:t xml:space="preserve"> were dropped</w:t>
      </w:r>
      <w:r w:rsidR="00A26984" w:rsidRPr="008900A2">
        <w:t xml:space="preserve"> from final analyses.</w:t>
      </w:r>
      <w:r w:rsidR="00353EC9" w:rsidRPr="008900A2">
        <w:t xml:space="preserve"> </w:t>
      </w:r>
      <w:r w:rsidRPr="008900A2">
        <w:t xml:space="preserve"> </w:t>
      </w:r>
    </w:p>
    <w:p w14:paraId="4FEE1B87" w14:textId="69E6BC04" w:rsidR="00DA555C" w:rsidRPr="008900A2" w:rsidRDefault="00DA555C" w:rsidP="00AF1662">
      <w:pPr>
        <w:spacing w:after="0" w:line="480" w:lineRule="auto"/>
        <w:ind w:firstLine="720"/>
      </w:pPr>
      <w:r w:rsidRPr="008900A2">
        <w:rPr>
          <w:b/>
        </w:rPr>
        <w:t xml:space="preserve">Gender-related </w:t>
      </w:r>
      <w:r w:rsidR="00B2301D" w:rsidRPr="008900A2">
        <w:rPr>
          <w:b/>
        </w:rPr>
        <w:t>marginalization</w:t>
      </w:r>
      <w:r w:rsidRPr="008900A2">
        <w:rPr>
          <w:b/>
        </w:rPr>
        <w:t xml:space="preserve"> stress and resiliency.</w:t>
      </w:r>
      <w:r w:rsidRPr="008900A2">
        <w:rPr>
          <w:b/>
          <w:i/>
        </w:rPr>
        <w:t xml:space="preserve"> </w:t>
      </w:r>
      <w:r w:rsidRPr="008900A2">
        <w:t xml:space="preserve">The Gender Minority Stress and Resilience Scale (GMSR; </w:t>
      </w:r>
      <w:r w:rsidR="00CA1E75" w:rsidRPr="008900A2">
        <w:t>Testa et al., 2015)</w:t>
      </w:r>
      <w:r w:rsidR="00B26616" w:rsidRPr="008900A2">
        <w:t xml:space="preserve"> </w:t>
      </w:r>
      <w:r w:rsidRPr="008900A2">
        <w:t xml:space="preserve">was used to assess several </w:t>
      </w:r>
      <w:r w:rsidR="00B2301D" w:rsidRPr="008900A2">
        <w:t>marginalization</w:t>
      </w:r>
      <w:r w:rsidRPr="008900A2">
        <w:t xml:space="preserve"> stress domains and positive aspects of gender minority identities. The GMSR has 58 items that contribute to 9 subscales</w:t>
      </w:r>
      <w:r w:rsidR="00701E7D" w:rsidRPr="008900A2">
        <w:t xml:space="preserve">: </w:t>
      </w:r>
      <w:r w:rsidRPr="008900A2">
        <w:t xml:space="preserve">gender-related discrimination, gender-related rejection, gender-related victimization, </w:t>
      </w:r>
      <w:r w:rsidR="00BB1237" w:rsidRPr="008900A2">
        <w:t>non-affirmation</w:t>
      </w:r>
      <w:r w:rsidRPr="008900A2">
        <w:t xml:space="preserve"> of gender identity, internalized transphobia, negative expectations for the future, nondisclosure (of one’s gender identity), pride (in one’s gender identity), and community connectedness. The subscales are scored independently and higher scores on each subscale indicate more experiences or alignment with the target domain. Internal consistency was acceptable or good for most of the subscales (</w:t>
      </w:r>
      <w:r w:rsidRPr="008900A2">
        <w:sym w:font="Symbol" w:char="F061"/>
      </w:r>
      <w:r w:rsidRPr="008900A2">
        <w:t xml:space="preserve"> = .7</w:t>
      </w:r>
      <w:r w:rsidR="00CE0C72" w:rsidRPr="008900A2">
        <w:t>5</w:t>
      </w:r>
      <w:r w:rsidRPr="008900A2">
        <w:t xml:space="preserve"> to .8</w:t>
      </w:r>
      <w:r w:rsidR="00CE0C72" w:rsidRPr="008900A2">
        <w:t>7</w:t>
      </w:r>
      <w:r w:rsidRPr="008900A2">
        <w:t>). For</w:t>
      </w:r>
      <w:r w:rsidR="0084194C" w:rsidRPr="008900A2">
        <w:t xml:space="preserve"> </w:t>
      </w:r>
      <w:r w:rsidR="00CE0C72" w:rsidRPr="008900A2">
        <w:t>nondisclosure</w:t>
      </w:r>
      <w:r w:rsidRPr="008900A2">
        <w:t xml:space="preserve"> and community connectedness, internal consistency was poor with Cronbach’s alpha ranging from .</w:t>
      </w:r>
      <w:r w:rsidR="00CE0C72" w:rsidRPr="008900A2">
        <w:t xml:space="preserve">50 </w:t>
      </w:r>
      <w:r w:rsidRPr="008900A2">
        <w:t>(community connectedness) to .</w:t>
      </w:r>
      <w:r w:rsidR="00CE0C72" w:rsidRPr="008900A2">
        <w:t xml:space="preserve">65 (nondisclosure). </w:t>
      </w:r>
      <w:r w:rsidR="007669A7" w:rsidRPr="008900A2">
        <w:t xml:space="preserve">Therefore, these variables </w:t>
      </w:r>
      <w:r w:rsidR="00321A9D" w:rsidRPr="008900A2">
        <w:t xml:space="preserve">were dropped </w:t>
      </w:r>
      <w:r w:rsidR="007669A7" w:rsidRPr="008900A2">
        <w:t>from final analyses.</w:t>
      </w:r>
    </w:p>
    <w:p w14:paraId="1D3D8E61" w14:textId="589DDEF9" w:rsidR="005041CD" w:rsidRPr="008900A2" w:rsidRDefault="00BE3AA9" w:rsidP="00AF1662">
      <w:pPr>
        <w:spacing w:after="0" w:line="480" w:lineRule="auto"/>
        <w:ind w:firstLine="720"/>
      </w:pPr>
      <w:r w:rsidRPr="008900A2">
        <w:rPr>
          <w:b/>
        </w:rPr>
        <w:t xml:space="preserve">Area. </w:t>
      </w:r>
      <w:r w:rsidR="0085412B" w:rsidRPr="008900A2">
        <w:t xml:space="preserve">Rurality/urbanicity was assessed with a single item with </w:t>
      </w:r>
      <w:r w:rsidR="00036088" w:rsidRPr="008900A2">
        <w:t xml:space="preserve">four </w:t>
      </w:r>
      <w:r w:rsidR="0085412B" w:rsidRPr="008900A2">
        <w:t>response options</w:t>
      </w:r>
      <w:r w:rsidRPr="008900A2">
        <w:t>: urba</w:t>
      </w:r>
      <w:r w:rsidR="00C40B4B" w:rsidRPr="008900A2">
        <w:t>n a</w:t>
      </w:r>
      <w:r w:rsidRPr="008900A2">
        <w:t>rea (50,000 or more people</w:t>
      </w:r>
      <w:r w:rsidR="00671BC3" w:rsidRPr="008900A2">
        <w:t>, coded 0</w:t>
      </w:r>
      <w:r w:rsidRPr="008900A2">
        <w:t>), urban cluster areas (at least 2,500 people but less than 50,000 people</w:t>
      </w:r>
      <w:r w:rsidR="00671BC3" w:rsidRPr="008900A2">
        <w:t>, coded 1</w:t>
      </w:r>
      <w:r w:rsidR="00242990" w:rsidRPr="008900A2">
        <w:t>)</w:t>
      </w:r>
      <w:r w:rsidR="00AE6135" w:rsidRPr="008900A2">
        <w:t>,</w:t>
      </w:r>
      <w:r w:rsidR="00036088" w:rsidRPr="008900A2">
        <w:t xml:space="preserve"> rural area (areas with less than 2,500 people, coded 2),</w:t>
      </w:r>
      <w:r w:rsidR="00242990" w:rsidRPr="008900A2">
        <w:t xml:space="preserve"> or</w:t>
      </w:r>
      <w:r w:rsidRPr="008900A2">
        <w:t xml:space="preserve"> prefer not to answer. </w:t>
      </w:r>
      <w:r w:rsidR="00CF6A12" w:rsidRPr="008900A2">
        <w:t xml:space="preserve">Throughout this paper when referencing the non-urban </w:t>
      </w:r>
      <w:r w:rsidR="00466F1A" w:rsidRPr="008900A2">
        <w:t>areas,</w:t>
      </w:r>
      <w:r w:rsidR="00671BC3" w:rsidRPr="008900A2">
        <w:t xml:space="preserve"> </w:t>
      </w:r>
      <w:r w:rsidR="00CF6A12" w:rsidRPr="008900A2">
        <w:t>we are describing those who selected rural or urban cluster</w:t>
      </w:r>
      <w:r w:rsidR="00701E7D" w:rsidRPr="008900A2">
        <w:t xml:space="preserve"> </w:t>
      </w:r>
      <w:r w:rsidR="006D29C9" w:rsidRPr="008900A2">
        <w:t>combined</w:t>
      </w:r>
      <w:r w:rsidR="00CF6A12" w:rsidRPr="008900A2">
        <w:t xml:space="preserve">. </w:t>
      </w:r>
    </w:p>
    <w:p w14:paraId="77203070" w14:textId="482497AF" w:rsidR="0064027A" w:rsidRPr="008900A2" w:rsidRDefault="009A67A2" w:rsidP="00F909BB">
      <w:pPr>
        <w:spacing w:after="0" w:line="480" w:lineRule="auto"/>
        <w:rPr>
          <w:b/>
        </w:rPr>
      </w:pPr>
      <w:r w:rsidRPr="008900A2">
        <w:rPr>
          <w:b/>
        </w:rPr>
        <w:t xml:space="preserve">Data </w:t>
      </w:r>
      <w:r w:rsidR="00F909BB" w:rsidRPr="008900A2">
        <w:rPr>
          <w:b/>
        </w:rPr>
        <w:t>Analysis Plan</w:t>
      </w:r>
    </w:p>
    <w:p w14:paraId="3FF5103C" w14:textId="49F23EA0" w:rsidR="00BF16BF" w:rsidRPr="008900A2" w:rsidRDefault="0064027A" w:rsidP="00BF16BF">
      <w:pPr>
        <w:spacing w:line="480" w:lineRule="auto"/>
        <w:rPr>
          <w:rFonts w:eastAsia="Times New Roman"/>
        </w:rPr>
      </w:pPr>
      <w:r w:rsidRPr="008900A2">
        <w:tab/>
        <w:t xml:space="preserve">Data were analyzed using </w:t>
      </w:r>
      <w:proofErr w:type="spellStart"/>
      <w:r w:rsidRPr="008900A2">
        <w:t>Mplus</w:t>
      </w:r>
      <w:proofErr w:type="spellEnd"/>
      <w:r w:rsidRPr="008900A2">
        <w:t xml:space="preserve"> (</w:t>
      </w:r>
      <w:proofErr w:type="spellStart"/>
      <w:r w:rsidRPr="008900A2">
        <w:t>Muthén</w:t>
      </w:r>
      <w:proofErr w:type="spellEnd"/>
      <w:r w:rsidRPr="008900A2">
        <w:t xml:space="preserve"> &amp; </w:t>
      </w:r>
      <w:proofErr w:type="spellStart"/>
      <w:r w:rsidRPr="008900A2">
        <w:t>Muthén</w:t>
      </w:r>
      <w:proofErr w:type="spellEnd"/>
      <w:r w:rsidRPr="008900A2">
        <w:t>, Los Angeles, CA, 1998-2017)</w:t>
      </w:r>
      <w:r w:rsidRPr="008900A2">
        <w:rPr>
          <w:rFonts w:eastAsia="Times New Roman"/>
        </w:rPr>
        <w:t xml:space="preserve"> </w:t>
      </w:r>
      <w:r w:rsidR="00CC1302" w:rsidRPr="008900A2">
        <w:rPr>
          <w:rFonts w:eastAsia="Times New Roman"/>
        </w:rPr>
        <w:t xml:space="preserve">and Full Information Maximum Likelihood (FIML) estimation </w:t>
      </w:r>
      <w:r w:rsidRPr="008900A2">
        <w:t xml:space="preserve">to address missing data which is considered superior to other methods of handling missing data (Enders &amp; </w:t>
      </w:r>
      <w:proofErr w:type="spellStart"/>
      <w:r w:rsidRPr="008900A2">
        <w:t>Bandalos</w:t>
      </w:r>
      <w:proofErr w:type="spellEnd"/>
      <w:r w:rsidRPr="008900A2">
        <w:t xml:space="preserve">, 2001). </w:t>
      </w:r>
      <w:r w:rsidR="00AC22B0" w:rsidRPr="008900A2">
        <w:t>Missing data were minimal (covariance coverage ranged from .6</w:t>
      </w:r>
      <w:r w:rsidR="002000EE" w:rsidRPr="008900A2">
        <w:t>8</w:t>
      </w:r>
      <w:r w:rsidR="00AC22B0" w:rsidRPr="008900A2">
        <w:t xml:space="preserve"> to .9</w:t>
      </w:r>
      <w:r w:rsidR="002000EE" w:rsidRPr="008900A2">
        <w:t>3</w:t>
      </w:r>
      <w:r w:rsidR="00AC22B0" w:rsidRPr="008900A2">
        <w:t xml:space="preserve">). </w:t>
      </w:r>
      <w:r w:rsidR="00B95DA5" w:rsidRPr="008900A2">
        <w:rPr>
          <w:rFonts w:eastAsia="Times New Roman"/>
        </w:rPr>
        <w:t>T</w:t>
      </w:r>
      <w:r w:rsidR="007A4EEA" w:rsidRPr="008900A2">
        <w:rPr>
          <w:rFonts w:eastAsia="Times New Roman"/>
        </w:rPr>
        <w:t>hree</w:t>
      </w:r>
      <w:r w:rsidR="007945B7" w:rsidRPr="008900A2">
        <w:rPr>
          <w:rFonts w:eastAsia="Times New Roman"/>
        </w:rPr>
        <w:t xml:space="preserve"> models w</w:t>
      </w:r>
      <w:r w:rsidR="00111E7D" w:rsidRPr="008900A2">
        <w:rPr>
          <w:rFonts w:eastAsia="Times New Roman"/>
        </w:rPr>
        <w:t>ere</w:t>
      </w:r>
      <w:r w:rsidR="007945B7" w:rsidRPr="008900A2">
        <w:rPr>
          <w:rFonts w:eastAsia="Times New Roman"/>
        </w:rPr>
        <w:t xml:space="preserve"> conducted to test the hypotheses</w:t>
      </w:r>
      <w:r w:rsidR="00B92ECA" w:rsidRPr="008900A2">
        <w:rPr>
          <w:rFonts w:eastAsia="Times New Roman"/>
        </w:rPr>
        <w:t>,</w:t>
      </w:r>
      <w:r w:rsidR="00BF16BF" w:rsidRPr="008900A2">
        <w:rPr>
          <w:rFonts w:eastAsia="Times New Roman"/>
        </w:rPr>
        <w:t xml:space="preserve"> </w:t>
      </w:r>
      <w:r w:rsidR="005A0495" w:rsidRPr="008900A2">
        <w:rPr>
          <w:rFonts w:eastAsia="Times New Roman"/>
        </w:rPr>
        <w:t xml:space="preserve">and in each model, </w:t>
      </w:r>
      <w:r w:rsidR="007945B7" w:rsidRPr="008900A2">
        <w:rPr>
          <w:rFonts w:eastAsia="Times New Roman"/>
        </w:rPr>
        <w:t>area was “dummy-coded” with urban as the referent group. Age was also included as a covariate in each model as age significantly correlated with all study variables (</w:t>
      </w:r>
      <w:proofErr w:type="spellStart"/>
      <w:r w:rsidR="007945B7" w:rsidRPr="008900A2">
        <w:rPr>
          <w:rFonts w:eastAsia="Times New Roman"/>
          <w:i/>
          <w:iCs/>
        </w:rPr>
        <w:t>p</w:t>
      </w:r>
      <w:r w:rsidR="007945B7" w:rsidRPr="008900A2">
        <w:rPr>
          <w:rFonts w:eastAsia="Times New Roman"/>
        </w:rPr>
        <w:t>s</w:t>
      </w:r>
      <w:proofErr w:type="spellEnd"/>
      <w:r w:rsidR="007945B7" w:rsidRPr="008900A2">
        <w:rPr>
          <w:rFonts w:eastAsia="Times New Roman"/>
        </w:rPr>
        <w:t xml:space="preserve"> &lt; .05).</w:t>
      </w:r>
      <w:r w:rsidR="00111E7D" w:rsidRPr="008900A2">
        <w:rPr>
          <w:rFonts w:eastAsia="Times New Roman"/>
        </w:rPr>
        <w:t xml:space="preserve"> </w:t>
      </w:r>
      <w:r w:rsidR="00ED3BC4" w:rsidRPr="008900A2">
        <w:rPr>
          <w:rFonts w:eastAsia="Times New Roman"/>
        </w:rPr>
        <w:t>To test hypothesis 1</w:t>
      </w:r>
      <w:r w:rsidR="007F6A60" w:rsidRPr="008900A2">
        <w:rPr>
          <w:rFonts w:eastAsia="Times New Roman"/>
        </w:rPr>
        <w:t xml:space="preserve"> and 2</w:t>
      </w:r>
      <w:r w:rsidR="00ED3BC4" w:rsidRPr="008900A2">
        <w:rPr>
          <w:rFonts w:eastAsia="Times New Roman"/>
        </w:rPr>
        <w:t xml:space="preserve">, </w:t>
      </w:r>
      <w:r w:rsidR="007945B7" w:rsidRPr="008900A2">
        <w:rPr>
          <w:rFonts w:eastAsia="Times New Roman"/>
        </w:rPr>
        <w:t xml:space="preserve">a model </w:t>
      </w:r>
      <w:r w:rsidR="00ED3BC4" w:rsidRPr="008900A2">
        <w:rPr>
          <w:rFonts w:eastAsia="Times New Roman"/>
        </w:rPr>
        <w:t xml:space="preserve">was constructed </w:t>
      </w:r>
      <w:r w:rsidR="00705CCB" w:rsidRPr="008900A2">
        <w:rPr>
          <w:rFonts w:eastAsia="Times New Roman"/>
        </w:rPr>
        <w:t>with</w:t>
      </w:r>
      <w:r w:rsidR="00ED3BC4" w:rsidRPr="008900A2">
        <w:rPr>
          <w:rFonts w:eastAsia="Times New Roman"/>
        </w:rPr>
        <w:t xml:space="preserve"> area of residence </w:t>
      </w:r>
      <w:r w:rsidR="00705CCB" w:rsidRPr="008900A2">
        <w:rPr>
          <w:rFonts w:eastAsia="Times New Roman"/>
        </w:rPr>
        <w:t>as predictors of</w:t>
      </w:r>
      <w:r w:rsidR="00ED3BC4" w:rsidRPr="008900A2">
        <w:rPr>
          <w:rFonts w:eastAsia="Times New Roman"/>
        </w:rPr>
        <w:t xml:space="preserve"> mental health </w:t>
      </w:r>
      <w:r w:rsidR="00705CCB" w:rsidRPr="008900A2">
        <w:rPr>
          <w:rFonts w:eastAsia="Times New Roman"/>
        </w:rPr>
        <w:t>outcomes</w:t>
      </w:r>
      <w:r w:rsidR="007F6A60" w:rsidRPr="008900A2">
        <w:rPr>
          <w:rFonts w:eastAsia="Times New Roman"/>
        </w:rPr>
        <w:t>, marginalization stressors, and protective factors</w:t>
      </w:r>
      <w:r w:rsidR="00705CCB" w:rsidRPr="008900A2">
        <w:rPr>
          <w:rFonts w:eastAsia="Times New Roman"/>
        </w:rPr>
        <w:t>.</w:t>
      </w:r>
      <w:r w:rsidR="00353EC9" w:rsidRPr="008900A2">
        <w:rPr>
          <w:rFonts w:eastAsia="Times New Roman"/>
        </w:rPr>
        <w:t xml:space="preserve"> </w:t>
      </w:r>
      <w:r w:rsidR="007F6A60" w:rsidRPr="008900A2">
        <w:rPr>
          <w:rFonts w:eastAsia="Times New Roman"/>
        </w:rPr>
        <w:t>To</w:t>
      </w:r>
      <w:r w:rsidR="00ED3BC4" w:rsidRPr="008900A2">
        <w:rPr>
          <w:rFonts w:eastAsia="Times New Roman"/>
        </w:rPr>
        <w:t xml:space="preserve"> test hypothesis </w:t>
      </w:r>
      <w:r w:rsidR="000F4095" w:rsidRPr="008900A2">
        <w:rPr>
          <w:rFonts w:eastAsia="Times New Roman"/>
        </w:rPr>
        <w:t>3</w:t>
      </w:r>
      <w:r w:rsidR="00ED3BC4" w:rsidRPr="008900A2">
        <w:rPr>
          <w:rFonts w:eastAsia="Times New Roman"/>
        </w:rPr>
        <w:t xml:space="preserve">, </w:t>
      </w:r>
      <w:r w:rsidR="00B62684" w:rsidRPr="008900A2">
        <w:rPr>
          <w:rFonts w:eastAsia="Times New Roman"/>
        </w:rPr>
        <w:t>two models were c</w:t>
      </w:r>
      <w:r w:rsidR="00C901F4" w:rsidRPr="008900A2">
        <w:rPr>
          <w:rFonts w:eastAsia="Times New Roman"/>
        </w:rPr>
        <w:t xml:space="preserve">onstructed </w:t>
      </w:r>
      <w:r w:rsidR="002C428F" w:rsidRPr="008900A2">
        <w:rPr>
          <w:rFonts w:eastAsia="Times New Roman"/>
        </w:rPr>
        <w:t xml:space="preserve">similar to that of Testa and colleagues (2017), </w:t>
      </w:r>
      <w:r w:rsidR="005A0495" w:rsidRPr="008900A2">
        <w:rPr>
          <w:rFonts w:eastAsia="Times New Roman"/>
        </w:rPr>
        <w:t xml:space="preserve">with area of residence predicting </w:t>
      </w:r>
      <w:r w:rsidR="004C67EC" w:rsidRPr="008900A2">
        <w:rPr>
          <w:rFonts w:eastAsia="Times New Roman"/>
        </w:rPr>
        <w:t xml:space="preserve">distal </w:t>
      </w:r>
      <w:r w:rsidR="005A0495" w:rsidRPr="008900A2">
        <w:rPr>
          <w:rFonts w:eastAsia="Times New Roman"/>
        </w:rPr>
        <w:t xml:space="preserve">marginalization stressors, </w:t>
      </w:r>
      <w:r w:rsidR="004C67EC" w:rsidRPr="008900A2">
        <w:rPr>
          <w:rFonts w:eastAsia="Times New Roman"/>
        </w:rPr>
        <w:t xml:space="preserve">distal </w:t>
      </w:r>
      <w:r w:rsidR="005A0495" w:rsidRPr="008900A2">
        <w:rPr>
          <w:rFonts w:eastAsia="Times New Roman"/>
        </w:rPr>
        <w:t>marginalization stressors predicting proximal marginalization stressors</w:t>
      </w:r>
      <w:proofErr w:type="gramStart"/>
      <w:r w:rsidR="005A0495" w:rsidRPr="008900A2">
        <w:rPr>
          <w:rFonts w:eastAsia="Times New Roman"/>
        </w:rPr>
        <w:t>, ,</w:t>
      </w:r>
      <w:proofErr w:type="gramEnd"/>
      <w:r w:rsidR="005A0495" w:rsidRPr="008900A2">
        <w:rPr>
          <w:rFonts w:eastAsia="Times New Roman"/>
        </w:rPr>
        <w:t xml:space="preserve"> and </w:t>
      </w:r>
      <w:r w:rsidR="00605F62" w:rsidRPr="008900A2">
        <w:rPr>
          <w:rFonts w:eastAsia="Times New Roman"/>
        </w:rPr>
        <w:t>proximal</w:t>
      </w:r>
      <w:r w:rsidR="005A0495" w:rsidRPr="008900A2">
        <w:rPr>
          <w:rFonts w:eastAsia="Times New Roman"/>
        </w:rPr>
        <w:t xml:space="preserve"> marginalization stressors predicting negative mental health symptoms </w:t>
      </w:r>
      <w:r w:rsidR="00B62684" w:rsidRPr="008900A2">
        <w:rPr>
          <w:rFonts w:eastAsia="Times New Roman"/>
        </w:rPr>
        <w:t xml:space="preserve">in model 2. Model 3 was identical to model 2 but included </w:t>
      </w:r>
      <w:r w:rsidR="00FD26E8" w:rsidRPr="008900A2">
        <w:rPr>
          <w:rFonts w:eastAsia="Times New Roman"/>
        </w:rPr>
        <w:t>protective factor</w:t>
      </w:r>
      <w:r w:rsidR="008832CB" w:rsidRPr="008900A2">
        <w:rPr>
          <w:rFonts w:eastAsia="Times New Roman"/>
        </w:rPr>
        <w:t>s</w:t>
      </w:r>
      <w:r w:rsidR="00B62684" w:rsidRPr="008900A2">
        <w:rPr>
          <w:rFonts w:eastAsia="Times New Roman"/>
        </w:rPr>
        <w:t xml:space="preserve"> as a moderator.</w:t>
      </w:r>
    </w:p>
    <w:p w14:paraId="66262B8D" w14:textId="01D17A7F" w:rsidR="00DA0AC6" w:rsidRPr="008900A2" w:rsidRDefault="00BF16BF" w:rsidP="00BF16BF">
      <w:pPr>
        <w:spacing w:line="480" w:lineRule="auto"/>
        <w:rPr>
          <w:rFonts w:eastAsia="Times New Roman"/>
        </w:rPr>
      </w:pPr>
      <w:r w:rsidRPr="008900A2">
        <w:rPr>
          <w:rFonts w:eastAsia="Times New Roman"/>
        </w:rPr>
        <w:tab/>
      </w:r>
      <w:r w:rsidR="008E0E15" w:rsidRPr="008900A2">
        <w:rPr>
          <w:rFonts w:eastAsia="Times New Roman"/>
        </w:rPr>
        <w:t>In the second</w:t>
      </w:r>
      <w:r w:rsidR="00B62684" w:rsidRPr="008900A2">
        <w:rPr>
          <w:rFonts w:eastAsia="Times New Roman"/>
        </w:rPr>
        <w:t xml:space="preserve"> and third</w:t>
      </w:r>
      <w:r w:rsidR="008E0E15" w:rsidRPr="008900A2">
        <w:rPr>
          <w:rFonts w:eastAsia="Times New Roman"/>
        </w:rPr>
        <w:t xml:space="preserve"> model</w:t>
      </w:r>
      <w:r w:rsidR="00B62684" w:rsidRPr="008900A2">
        <w:rPr>
          <w:rFonts w:eastAsia="Times New Roman"/>
        </w:rPr>
        <w:t>s</w:t>
      </w:r>
      <w:r w:rsidR="008E0E15" w:rsidRPr="008900A2">
        <w:rPr>
          <w:rFonts w:eastAsia="Times New Roman"/>
        </w:rPr>
        <w:t xml:space="preserve"> a</w:t>
      </w:r>
      <w:r w:rsidRPr="008900A2">
        <w:rPr>
          <w:rFonts w:eastAsia="Times New Roman"/>
        </w:rPr>
        <w:t xml:space="preserve"> bootstrap approach was implemented. Bootstrapping maximizes power while minimizing Type 1 error rate (Shrout &amp; Bolger, 2002). Bootstrapping also provides an empirical approximation of sampling distributions of indirect effects to produce confidence intervals (CI) of estimates. If zero does not fall within the CI, one can conclude, an indirect effect is different from zero. </w:t>
      </w:r>
      <w:r w:rsidR="00CC1302" w:rsidRPr="008900A2">
        <w:rPr>
          <w:rFonts w:eastAsia="Times New Roman"/>
        </w:rPr>
        <w:t xml:space="preserve">To account for violations of normality, we performed a nonparametric resampling method (bias-corrected bootstrap) with </w:t>
      </w:r>
      <w:r w:rsidR="007A4EEA" w:rsidRPr="008900A2">
        <w:rPr>
          <w:rFonts w:eastAsia="Times New Roman"/>
        </w:rPr>
        <w:t>5</w:t>
      </w:r>
      <w:r w:rsidR="00CC1302" w:rsidRPr="008900A2">
        <w:rPr>
          <w:rFonts w:eastAsia="Times New Roman"/>
        </w:rPr>
        <w:t xml:space="preserve">000 resamples drawn to derive the confidence intervals for indirect effects (Preacher et al., 2007). </w:t>
      </w:r>
      <w:r w:rsidR="004673B3" w:rsidRPr="008900A2">
        <w:rPr>
          <w:rFonts w:eastAsia="Times New Roman"/>
        </w:rPr>
        <w:t xml:space="preserve">All direct effects were also retained (e.g., </w:t>
      </w:r>
      <w:r w:rsidR="008E54C6" w:rsidRPr="008900A2">
        <w:rPr>
          <w:rFonts w:eastAsia="Times New Roman"/>
        </w:rPr>
        <w:t xml:space="preserve">distal </w:t>
      </w:r>
      <w:r w:rsidR="004673B3" w:rsidRPr="008900A2">
        <w:rPr>
          <w:rFonts w:eastAsia="Times New Roman"/>
        </w:rPr>
        <w:t>marginalization stress variables predicting mental health outcomes).</w:t>
      </w:r>
      <w:r w:rsidR="00705CCB" w:rsidRPr="008900A2">
        <w:rPr>
          <w:rFonts w:eastAsia="Times New Roman"/>
        </w:rPr>
        <w:t xml:space="preserve"> Following recommendations by Fritz and MacKinnon (</w:t>
      </w:r>
      <w:r w:rsidR="00286A74" w:rsidRPr="008900A2">
        <w:rPr>
          <w:rFonts w:eastAsia="Times New Roman"/>
        </w:rPr>
        <w:t>2007</w:t>
      </w:r>
      <w:r w:rsidR="00705CCB" w:rsidRPr="008900A2">
        <w:rPr>
          <w:rFonts w:eastAsia="Times New Roman"/>
        </w:rPr>
        <w:t xml:space="preserve">), </w:t>
      </w:r>
      <w:r w:rsidRPr="008900A2">
        <w:rPr>
          <w:rFonts w:eastAsia="Times New Roman"/>
        </w:rPr>
        <w:t xml:space="preserve">we first </w:t>
      </w:r>
      <w:r w:rsidR="00705CCB" w:rsidRPr="008900A2">
        <w:rPr>
          <w:rFonts w:eastAsia="Times New Roman"/>
        </w:rPr>
        <w:t>examin</w:t>
      </w:r>
      <w:r w:rsidRPr="008900A2">
        <w:rPr>
          <w:rFonts w:eastAsia="Times New Roman"/>
        </w:rPr>
        <w:t>ed</w:t>
      </w:r>
      <w:r w:rsidR="00705CCB" w:rsidRPr="008900A2">
        <w:rPr>
          <w:rFonts w:eastAsia="Times New Roman"/>
        </w:rPr>
        <w:t xml:space="preserve"> significant direct effects</w:t>
      </w:r>
      <w:r w:rsidRPr="008900A2">
        <w:rPr>
          <w:rFonts w:eastAsia="Times New Roman"/>
        </w:rPr>
        <w:t xml:space="preserve"> and then </w:t>
      </w:r>
      <w:r w:rsidR="00705CCB" w:rsidRPr="008900A2">
        <w:t>i</w:t>
      </w:r>
      <w:r w:rsidR="00705CCB" w:rsidRPr="008900A2">
        <w:rPr>
          <w:rFonts w:eastAsia="Times New Roman"/>
        </w:rPr>
        <w:t>ndirect effects</w:t>
      </w:r>
      <w:r w:rsidR="00CC1302" w:rsidRPr="008900A2">
        <w:rPr>
          <w:rFonts w:eastAsia="Times New Roman"/>
        </w:rPr>
        <w:t xml:space="preserve">. </w:t>
      </w:r>
    </w:p>
    <w:p w14:paraId="166D90FD" w14:textId="09989375" w:rsidR="007A4EEA" w:rsidRPr="008900A2" w:rsidRDefault="00BF16BF" w:rsidP="002C428F">
      <w:pPr>
        <w:spacing w:line="480" w:lineRule="auto"/>
        <w:rPr>
          <w:b/>
        </w:rPr>
      </w:pPr>
      <w:r w:rsidRPr="008900A2">
        <w:rPr>
          <w:rFonts w:eastAsia="Times New Roman"/>
        </w:rPr>
        <w:tab/>
      </w:r>
      <w:r w:rsidRPr="008900A2">
        <w:t>To assess global fit, multiple indices were used. Comparative Fit Index (CFI</w:t>
      </w:r>
      <w:r w:rsidR="00BC079B" w:rsidRPr="008900A2">
        <w:t>; Bentler, 1990</w:t>
      </w:r>
      <w:r w:rsidRPr="008900A2">
        <w:t>), Root Mean Square Error of Approximation (RMSEA</w:t>
      </w:r>
      <w:r w:rsidR="00BC079B" w:rsidRPr="008900A2">
        <w:t xml:space="preserve">; Browne &amp; </w:t>
      </w:r>
      <w:proofErr w:type="spellStart"/>
      <w:r w:rsidR="00BC079B" w:rsidRPr="008900A2">
        <w:t>Cudeck</w:t>
      </w:r>
      <w:proofErr w:type="spellEnd"/>
      <w:r w:rsidR="00BC079B" w:rsidRPr="008900A2">
        <w:t>, 1992</w:t>
      </w:r>
      <w:r w:rsidRPr="008900A2">
        <w:t>), and Standard Root Mean Residual (SRMR</w:t>
      </w:r>
      <w:r w:rsidR="00BC079B" w:rsidRPr="008900A2">
        <w:t>; Hu &amp; Bentler, 1995</w:t>
      </w:r>
      <w:r w:rsidRPr="008900A2">
        <w:t xml:space="preserve">). </w:t>
      </w:r>
      <w:r w:rsidR="00BC079B" w:rsidRPr="008900A2">
        <w:t>For the CFI, values of .90 or greater reflect adequate fit of the model. For the RMSEA and SRMR, values of .05 or less indicate good fit, values up to .08 indicate reasonable fit, values ranging from .08-.10 indicate mediocre fit, and values greater than .10 indicate poor fit (</w:t>
      </w:r>
      <w:proofErr w:type="spellStart"/>
      <w:r w:rsidR="00BC079B" w:rsidRPr="008900A2">
        <w:t>MacCallem</w:t>
      </w:r>
      <w:proofErr w:type="spellEnd"/>
      <w:r w:rsidR="00820DD6" w:rsidRPr="008900A2">
        <w:t xml:space="preserve"> et al.</w:t>
      </w:r>
      <w:r w:rsidR="00BC079B" w:rsidRPr="008900A2">
        <w:t>, 1996).</w:t>
      </w:r>
      <w:r w:rsidR="00AD6442" w:rsidRPr="008900A2">
        <w:t xml:space="preserve"> </w:t>
      </w:r>
      <w:r w:rsidR="00612870" w:rsidRPr="008900A2">
        <w:t xml:space="preserve">Once a model was deemed to fit the data adequately, parameter estimates were interpreted. </w:t>
      </w:r>
      <w:r w:rsidR="00363FD3" w:rsidRPr="008900A2">
        <w:t xml:space="preserve">Model fit </w:t>
      </w:r>
      <w:r w:rsidR="00612870" w:rsidRPr="008900A2">
        <w:t>comparisons</w:t>
      </w:r>
      <w:r w:rsidR="00363FD3" w:rsidRPr="008900A2">
        <w:t xml:space="preserve"> were conducted</w:t>
      </w:r>
      <w:r w:rsidR="00612870" w:rsidRPr="008900A2">
        <w:t xml:space="preserve"> using the </w:t>
      </w:r>
      <w:r w:rsidR="00E31669" w:rsidRPr="008900A2">
        <w:t xml:space="preserve">sample size adjusted </w:t>
      </w:r>
      <w:r w:rsidR="00612870" w:rsidRPr="008900A2">
        <w:t>B</w:t>
      </w:r>
      <w:r w:rsidR="0025436B" w:rsidRPr="008900A2">
        <w:t xml:space="preserve">ayesian </w:t>
      </w:r>
      <w:r w:rsidR="00975ACF" w:rsidRPr="008900A2">
        <w:t>Information Criterion</w:t>
      </w:r>
      <w:r w:rsidR="00612870" w:rsidRPr="008900A2">
        <w:t xml:space="preserve"> (BIC)</w:t>
      </w:r>
      <w:r w:rsidR="006578F5" w:rsidRPr="008900A2">
        <w:t xml:space="preserve">. </w:t>
      </w:r>
      <w:r w:rsidR="00094C4D" w:rsidRPr="008900A2">
        <w:t>Estimates from m</w:t>
      </w:r>
      <w:r w:rsidR="00B16E9F" w:rsidRPr="008900A2">
        <w:t>odels of greater complexity (e.g., Model 2</w:t>
      </w:r>
      <w:r w:rsidR="00094C4D" w:rsidRPr="008900A2">
        <w:t xml:space="preserve"> relative</w:t>
      </w:r>
      <w:r w:rsidR="00B16E9F" w:rsidRPr="008900A2">
        <w:t xml:space="preserve"> to Model 1) were only </w:t>
      </w:r>
      <w:r w:rsidR="00094C4D" w:rsidRPr="008900A2">
        <w:t>examined</w:t>
      </w:r>
      <w:r w:rsidR="00B16E9F" w:rsidRPr="008900A2">
        <w:t xml:space="preserve"> if the difference in</w:t>
      </w:r>
      <w:r w:rsidR="00094C4D" w:rsidRPr="008900A2">
        <w:t xml:space="preserve"> sample size adjusted</w:t>
      </w:r>
      <w:r w:rsidR="00B16E9F" w:rsidRPr="008900A2">
        <w:t xml:space="preserve"> BIC was</w:t>
      </w:r>
      <w:r w:rsidR="00094C4D" w:rsidRPr="008900A2">
        <w:t xml:space="preserve"> not </w:t>
      </w:r>
      <w:r w:rsidR="00CA5988" w:rsidRPr="008900A2">
        <w:t xml:space="preserve">significantly worse using the convention that difference scores of 10 or greater </w:t>
      </w:r>
      <w:r w:rsidR="00527580" w:rsidRPr="008900A2">
        <w:t>indicate poorer model fit</w:t>
      </w:r>
      <w:r w:rsidR="003D6019" w:rsidRPr="008900A2">
        <w:t xml:space="preserve"> </w:t>
      </w:r>
      <w:r w:rsidR="009947E0" w:rsidRPr="008900A2">
        <w:t>(Burnham &amp; Anderson, 2004)</w:t>
      </w:r>
      <w:r w:rsidR="00612870" w:rsidRPr="008900A2">
        <w:t>.</w:t>
      </w:r>
    </w:p>
    <w:p w14:paraId="3CB028BC" w14:textId="01FA1BBC" w:rsidR="00295E60" w:rsidRPr="008900A2" w:rsidRDefault="00295E60" w:rsidP="00295E60">
      <w:pPr>
        <w:spacing w:after="0" w:line="480" w:lineRule="auto"/>
        <w:jc w:val="center"/>
        <w:rPr>
          <w:b/>
        </w:rPr>
      </w:pPr>
      <w:r w:rsidRPr="008900A2">
        <w:rPr>
          <w:b/>
        </w:rPr>
        <w:t>Results</w:t>
      </w:r>
    </w:p>
    <w:p w14:paraId="7306B849" w14:textId="44DBFFC8" w:rsidR="00111E7D" w:rsidRPr="008900A2" w:rsidRDefault="00111E7D" w:rsidP="00111E7D">
      <w:pPr>
        <w:spacing w:after="0" w:line="480" w:lineRule="auto"/>
        <w:rPr>
          <w:b/>
        </w:rPr>
      </w:pPr>
      <w:r w:rsidRPr="008900A2">
        <w:rPr>
          <w:b/>
        </w:rPr>
        <w:t>Preliminary analyses</w:t>
      </w:r>
    </w:p>
    <w:p w14:paraId="1DE9CB33" w14:textId="041C257D" w:rsidR="003E4DD9" w:rsidRPr="008900A2" w:rsidRDefault="00B91ACF" w:rsidP="003E4DD9">
      <w:pPr>
        <w:spacing w:after="0" w:line="480" w:lineRule="auto"/>
        <w:rPr>
          <w:rFonts w:eastAsia="Times New Roman"/>
        </w:rPr>
      </w:pPr>
      <w:r w:rsidRPr="008900A2">
        <w:rPr>
          <w:bCs w:val="0"/>
        </w:rPr>
        <w:tab/>
      </w:r>
      <w:r w:rsidR="003E4DD9" w:rsidRPr="008900A2">
        <w:rPr>
          <w:rFonts w:eastAsia="Times New Roman"/>
        </w:rPr>
        <w:t>Means and standard deviations of study variables can be found in Table 1 and correlations between study variables can be found in Table 2.</w:t>
      </w:r>
      <w:r w:rsidR="00DA0AC6" w:rsidRPr="008900A2">
        <w:rPr>
          <w:rFonts w:eastAsia="Times New Roman"/>
        </w:rPr>
        <w:t xml:space="preserve"> </w:t>
      </w:r>
      <w:r w:rsidR="0019367D" w:rsidRPr="008900A2">
        <w:rPr>
          <w:rFonts w:eastAsia="Times New Roman"/>
        </w:rPr>
        <w:t>Several of the variable</w:t>
      </w:r>
      <w:r w:rsidR="00140A33" w:rsidRPr="008900A2">
        <w:rPr>
          <w:rFonts w:eastAsia="Times New Roman"/>
        </w:rPr>
        <w:t>s</w:t>
      </w:r>
      <w:r w:rsidR="0019367D" w:rsidRPr="008900A2">
        <w:rPr>
          <w:rFonts w:eastAsia="Times New Roman"/>
        </w:rPr>
        <w:t xml:space="preserve"> violated assumptions of normality thus several iterations of the models were run utilizing different distributions. However, there were no significant differences in outcomes between models using different distributions so linear distributions were retained. </w:t>
      </w:r>
      <w:r w:rsidR="00065C8F" w:rsidRPr="008900A2">
        <w:rPr>
          <w:rFonts w:eastAsia="Times New Roman"/>
        </w:rPr>
        <w:t xml:space="preserve">The covariance matrix for all study variables can be found in Table 4. </w:t>
      </w:r>
    </w:p>
    <w:p w14:paraId="147C085B" w14:textId="55418522" w:rsidR="00265452" w:rsidRPr="008900A2" w:rsidRDefault="00265452" w:rsidP="001D4E96">
      <w:pPr>
        <w:spacing w:after="0" w:line="480" w:lineRule="auto"/>
        <w:rPr>
          <w:rFonts w:eastAsia="Times New Roman"/>
          <w:b/>
          <w:bCs w:val="0"/>
        </w:rPr>
      </w:pPr>
      <w:r w:rsidRPr="008900A2">
        <w:rPr>
          <w:rFonts w:eastAsia="Times New Roman"/>
          <w:b/>
          <w:bCs w:val="0"/>
        </w:rPr>
        <w:t xml:space="preserve">Model 1. Differences in Mental Health, Marginalization Stressors, and </w:t>
      </w:r>
      <w:r w:rsidR="0047565C" w:rsidRPr="008900A2">
        <w:rPr>
          <w:rFonts w:eastAsia="Times New Roman"/>
          <w:b/>
          <w:bCs w:val="0"/>
        </w:rPr>
        <w:t>Protective Factors Across Areas</w:t>
      </w:r>
    </w:p>
    <w:p w14:paraId="0EDE0E7F" w14:textId="0239AB65" w:rsidR="0047565C" w:rsidRPr="008900A2" w:rsidRDefault="00C220F7" w:rsidP="0047565C">
      <w:pPr>
        <w:spacing w:after="0" w:line="480" w:lineRule="auto"/>
        <w:rPr>
          <w:rFonts w:eastAsia="Times New Roman"/>
        </w:rPr>
      </w:pPr>
      <w:r w:rsidRPr="008900A2">
        <w:rPr>
          <w:rFonts w:eastAsia="Times New Roman"/>
        </w:rPr>
        <w:tab/>
      </w:r>
      <w:r w:rsidR="008831BF" w:rsidRPr="008900A2">
        <w:rPr>
          <w:rFonts w:eastAsia="Times New Roman"/>
        </w:rPr>
        <w:t xml:space="preserve">Since the model was just-identified, </w:t>
      </w:r>
      <w:r w:rsidR="0050281C" w:rsidRPr="008900A2">
        <w:rPr>
          <w:rFonts w:eastAsia="Times New Roman"/>
        </w:rPr>
        <w:t xml:space="preserve">most fit statistics were not available. </w:t>
      </w:r>
      <w:r w:rsidR="001E477F" w:rsidRPr="008900A2">
        <w:rPr>
          <w:rFonts w:eastAsia="Times New Roman"/>
        </w:rPr>
        <w:t xml:space="preserve">The </w:t>
      </w:r>
      <w:r w:rsidR="00E31669" w:rsidRPr="008900A2">
        <w:rPr>
          <w:rFonts w:eastAsia="Times New Roman"/>
        </w:rPr>
        <w:t xml:space="preserve">sample size adjusted </w:t>
      </w:r>
      <w:r w:rsidR="009E69BA" w:rsidRPr="008900A2">
        <w:rPr>
          <w:rFonts w:eastAsia="Times New Roman"/>
        </w:rPr>
        <w:t xml:space="preserve">BIC for this model was </w:t>
      </w:r>
      <w:r w:rsidR="00844302" w:rsidRPr="008900A2">
        <w:t>12</w:t>
      </w:r>
      <w:r w:rsidR="00A536FD" w:rsidRPr="008900A2">
        <w:t>,</w:t>
      </w:r>
      <w:r w:rsidR="00844302" w:rsidRPr="008900A2">
        <w:t>763.053</w:t>
      </w:r>
      <w:r w:rsidR="009E69BA" w:rsidRPr="008900A2">
        <w:rPr>
          <w:rFonts w:eastAsia="Times New Roman"/>
        </w:rPr>
        <w:t xml:space="preserve">. </w:t>
      </w:r>
    </w:p>
    <w:p w14:paraId="7880E1F4" w14:textId="797102F3" w:rsidR="00FD26E8" w:rsidRPr="008900A2" w:rsidRDefault="0047565C" w:rsidP="0047565C">
      <w:pPr>
        <w:spacing w:after="0" w:line="480" w:lineRule="auto"/>
        <w:ind w:firstLine="720"/>
        <w:rPr>
          <w:rFonts w:eastAsia="Times New Roman"/>
        </w:rPr>
      </w:pPr>
      <w:r w:rsidRPr="008900A2">
        <w:rPr>
          <w:rFonts w:eastAsia="Times New Roman"/>
          <w:b/>
          <w:bCs w:val="0"/>
          <w:i/>
          <w:iCs/>
        </w:rPr>
        <w:t>Aim 1 Mental Health Outcomes</w:t>
      </w:r>
      <w:r w:rsidRPr="008900A2">
        <w:rPr>
          <w:rFonts w:eastAsia="Times New Roman"/>
          <w:b/>
          <w:bCs w:val="0"/>
        </w:rPr>
        <w:t xml:space="preserve">. </w:t>
      </w:r>
      <w:r w:rsidR="00900E21" w:rsidRPr="008900A2">
        <w:rPr>
          <w:rFonts w:eastAsia="Times New Roman"/>
          <w:bCs w:val="0"/>
        </w:rPr>
        <w:t>Urban c</w:t>
      </w:r>
      <w:r w:rsidR="00893C07" w:rsidRPr="008900A2">
        <w:rPr>
          <w:rFonts w:eastAsia="Times New Roman"/>
          <w:bCs w:val="0"/>
        </w:rPr>
        <w:t>luster</w:t>
      </w:r>
      <w:r w:rsidR="000530A5" w:rsidRPr="008900A2">
        <w:rPr>
          <w:bCs w:val="0"/>
        </w:rPr>
        <w:t xml:space="preserve"> (</w:t>
      </w:r>
      <w:r w:rsidR="00DF71EB" w:rsidRPr="008900A2">
        <w:rPr>
          <w:i/>
          <w:iCs/>
        </w:rPr>
        <w:t>b</w:t>
      </w:r>
      <w:r w:rsidR="00893C07" w:rsidRPr="008900A2" w:rsidDel="00893C07">
        <w:rPr>
          <w:rFonts w:eastAsia="Times New Roman"/>
        </w:rPr>
        <w:t xml:space="preserve"> </w:t>
      </w:r>
      <w:r w:rsidR="000530A5" w:rsidRPr="008900A2">
        <w:rPr>
          <w:rFonts w:eastAsia="Times New Roman"/>
        </w:rPr>
        <w:t>=</w:t>
      </w:r>
      <w:r w:rsidR="000530A5" w:rsidRPr="008900A2">
        <w:rPr>
          <w:rFonts w:eastAsia="Times New Roman"/>
          <w:bCs w:val="0"/>
        </w:rPr>
        <w:t xml:space="preserve"> </w:t>
      </w:r>
      <w:r w:rsidR="00F217E1" w:rsidRPr="008900A2">
        <w:rPr>
          <w:rFonts w:eastAsia="Times New Roman"/>
          <w:bCs w:val="0"/>
        </w:rPr>
        <w:t>4.913</w:t>
      </w:r>
      <w:r w:rsidR="000530A5" w:rsidRPr="008900A2">
        <w:rPr>
          <w:rFonts w:eastAsia="Times New Roman"/>
        </w:rPr>
        <w:t xml:space="preserve">, </w:t>
      </w:r>
      <w:r w:rsidR="000530A5" w:rsidRPr="008900A2">
        <w:rPr>
          <w:rFonts w:eastAsia="Times New Roman"/>
          <w:i/>
          <w:iCs/>
        </w:rPr>
        <w:t xml:space="preserve">SE = </w:t>
      </w:r>
      <w:r w:rsidR="000530A5" w:rsidRPr="008900A2">
        <w:rPr>
          <w:rFonts w:eastAsia="Times New Roman"/>
          <w:bCs w:val="0"/>
        </w:rPr>
        <w:t>0.</w:t>
      </w:r>
      <w:r w:rsidR="002003FC" w:rsidRPr="008900A2">
        <w:rPr>
          <w:rFonts w:eastAsia="Times New Roman"/>
          <w:bCs w:val="0"/>
        </w:rPr>
        <w:t>7</w:t>
      </w:r>
      <w:r w:rsidR="00F217E1" w:rsidRPr="008900A2">
        <w:rPr>
          <w:rFonts w:eastAsia="Times New Roman"/>
          <w:bCs w:val="0"/>
        </w:rPr>
        <w:t>93</w:t>
      </w:r>
      <w:r w:rsidR="000530A5" w:rsidRPr="008900A2">
        <w:rPr>
          <w:rFonts w:eastAsia="Times New Roman"/>
        </w:rPr>
        <w:t xml:space="preserve">, </w:t>
      </w:r>
      <w:r w:rsidR="000530A5" w:rsidRPr="008900A2">
        <w:rPr>
          <w:rFonts w:eastAsia="Times New Roman"/>
          <w:i/>
          <w:iCs/>
        </w:rPr>
        <w:t>p</w:t>
      </w:r>
      <w:r w:rsidR="00F217E1" w:rsidRPr="008900A2">
        <w:rPr>
          <w:rFonts w:eastAsia="Times New Roman"/>
          <w:i/>
          <w:iCs/>
        </w:rPr>
        <w:t xml:space="preserve"> </w:t>
      </w:r>
      <w:r w:rsidR="00F217E1" w:rsidRPr="008900A2">
        <w:rPr>
          <w:rFonts w:eastAsia="Times New Roman"/>
        </w:rPr>
        <w:t>&lt;</w:t>
      </w:r>
      <w:r w:rsidR="000530A5" w:rsidRPr="008900A2">
        <w:rPr>
          <w:rFonts w:eastAsia="Times New Roman"/>
        </w:rPr>
        <w:t xml:space="preserve"> .0</w:t>
      </w:r>
      <w:r w:rsidR="002003FC" w:rsidRPr="008900A2">
        <w:rPr>
          <w:rFonts w:eastAsia="Times New Roman"/>
          <w:bCs w:val="0"/>
        </w:rPr>
        <w:t>01</w:t>
      </w:r>
      <w:r w:rsidR="000530A5" w:rsidRPr="008900A2">
        <w:rPr>
          <w:rFonts w:eastAsia="Times New Roman"/>
        </w:rPr>
        <w:t>)</w:t>
      </w:r>
      <w:r w:rsidR="000530A5" w:rsidRPr="008900A2">
        <w:rPr>
          <w:rFonts w:eastAsia="Times New Roman"/>
          <w:bCs w:val="0"/>
        </w:rPr>
        <w:t xml:space="preserve"> and </w:t>
      </w:r>
      <w:r w:rsidR="00893C07" w:rsidRPr="008900A2">
        <w:rPr>
          <w:rFonts w:eastAsia="Times New Roman"/>
          <w:bCs w:val="0"/>
        </w:rPr>
        <w:t>rural</w:t>
      </w:r>
      <w:r w:rsidR="000530A5" w:rsidRPr="008900A2">
        <w:rPr>
          <w:rFonts w:eastAsia="Times New Roman"/>
          <w:bCs w:val="0"/>
        </w:rPr>
        <w:t xml:space="preserve"> </w:t>
      </w:r>
      <w:r w:rsidR="000530A5" w:rsidRPr="008900A2">
        <w:rPr>
          <w:bCs w:val="0"/>
        </w:rPr>
        <w:t>(</w:t>
      </w:r>
      <w:r w:rsidR="00DF71EB" w:rsidRPr="008900A2">
        <w:rPr>
          <w:i/>
          <w:iCs/>
        </w:rPr>
        <w:t>b</w:t>
      </w:r>
      <w:r w:rsidR="00893C07" w:rsidRPr="008900A2" w:rsidDel="00893C07">
        <w:rPr>
          <w:rFonts w:eastAsia="Times New Roman"/>
        </w:rPr>
        <w:t xml:space="preserve"> </w:t>
      </w:r>
      <w:r w:rsidR="000530A5" w:rsidRPr="008900A2">
        <w:rPr>
          <w:rFonts w:eastAsia="Times New Roman"/>
        </w:rPr>
        <w:t>=</w:t>
      </w:r>
      <w:r w:rsidR="000530A5" w:rsidRPr="008900A2">
        <w:rPr>
          <w:rFonts w:eastAsia="Times New Roman"/>
          <w:bCs w:val="0"/>
        </w:rPr>
        <w:t xml:space="preserve"> </w:t>
      </w:r>
      <w:r w:rsidR="00F217E1" w:rsidRPr="008900A2">
        <w:rPr>
          <w:rFonts w:eastAsia="Times New Roman"/>
          <w:bCs w:val="0"/>
        </w:rPr>
        <w:t>3.636</w:t>
      </w:r>
      <w:r w:rsidR="000530A5" w:rsidRPr="008900A2">
        <w:rPr>
          <w:rFonts w:eastAsia="Times New Roman"/>
        </w:rPr>
        <w:t xml:space="preserve">, </w:t>
      </w:r>
      <w:r w:rsidR="000530A5" w:rsidRPr="008900A2">
        <w:rPr>
          <w:rFonts w:eastAsia="Times New Roman"/>
          <w:i/>
          <w:iCs/>
        </w:rPr>
        <w:t xml:space="preserve">SE = </w:t>
      </w:r>
      <w:r w:rsidR="000530A5" w:rsidRPr="008900A2">
        <w:rPr>
          <w:rFonts w:eastAsia="Times New Roman"/>
        </w:rPr>
        <w:t>0.</w:t>
      </w:r>
      <w:r w:rsidR="00CA771D" w:rsidRPr="008900A2">
        <w:rPr>
          <w:rFonts w:eastAsia="Times New Roman"/>
          <w:bCs w:val="0"/>
        </w:rPr>
        <w:t>793</w:t>
      </w:r>
      <w:r w:rsidR="000530A5" w:rsidRPr="008900A2">
        <w:rPr>
          <w:rFonts w:eastAsia="Times New Roman"/>
        </w:rPr>
        <w:t xml:space="preserve">, </w:t>
      </w:r>
      <w:r w:rsidR="000530A5" w:rsidRPr="008900A2">
        <w:rPr>
          <w:rFonts w:eastAsia="Times New Roman"/>
          <w:i/>
          <w:iCs/>
        </w:rPr>
        <w:t xml:space="preserve">p </w:t>
      </w:r>
      <w:r w:rsidR="00974108" w:rsidRPr="008900A2">
        <w:rPr>
          <w:rFonts w:eastAsia="Times New Roman"/>
          <w:bCs w:val="0"/>
        </w:rPr>
        <w:t>=</w:t>
      </w:r>
      <w:r w:rsidR="000530A5" w:rsidRPr="008900A2">
        <w:rPr>
          <w:rFonts w:eastAsia="Times New Roman"/>
        </w:rPr>
        <w:t xml:space="preserve"> .00</w:t>
      </w:r>
      <w:r w:rsidR="00CA771D" w:rsidRPr="008900A2">
        <w:rPr>
          <w:rFonts w:eastAsia="Times New Roman"/>
        </w:rPr>
        <w:t>1</w:t>
      </w:r>
      <w:r w:rsidR="000530A5" w:rsidRPr="008900A2">
        <w:rPr>
          <w:rFonts w:eastAsia="Times New Roman"/>
        </w:rPr>
        <w:t>)</w:t>
      </w:r>
      <w:r w:rsidR="000530A5" w:rsidRPr="008900A2">
        <w:rPr>
          <w:rFonts w:eastAsia="Times New Roman"/>
          <w:bCs w:val="0"/>
        </w:rPr>
        <w:t xml:space="preserve"> participants reported experiencing higher levels of depression than urban participants. </w:t>
      </w:r>
      <w:r w:rsidR="00900E21" w:rsidRPr="008900A2">
        <w:rPr>
          <w:rFonts w:eastAsia="Times New Roman"/>
          <w:bCs w:val="0"/>
        </w:rPr>
        <w:t>T</w:t>
      </w:r>
      <w:r w:rsidR="002003FC" w:rsidRPr="008900A2">
        <w:rPr>
          <w:rFonts w:eastAsia="Times New Roman"/>
          <w:bCs w:val="0"/>
        </w:rPr>
        <w:t>here w</w:t>
      </w:r>
      <w:r w:rsidR="00CA771D" w:rsidRPr="008900A2">
        <w:rPr>
          <w:rFonts w:eastAsia="Times New Roman"/>
          <w:bCs w:val="0"/>
        </w:rPr>
        <w:t>ere</w:t>
      </w:r>
      <w:r w:rsidR="002003FC" w:rsidRPr="008900A2">
        <w:rPr>
          <w:rFonts w:eastAsia="Times New Roman"/>
          <w:bCs w:val="0"/>
        </w:rPr>
        <w:t xml:space="preserve"> significant differences between non-urban and urban</w:t>
      </w:r>
      <w:r w:rsidR="000530A5" w:rsidRPr="008900A2">
        <w:rPr>
          <w:rFonts w:eastAsia="Times New Roman"/>
          <w:bCs w:val="0"/>
        </w:rPr>
        <w:t xml:space="preserve"> participants</w:t>
      </w:r>
      <w:r w:rsidR="002003FC" w:rsidRPr="008900A2">
        <w:rPr>
          <w:rFonts w:eastAsia="Times New Roman"/>
          <w:bCs w:val="0"/>
        </w:rPr>
        <w:t>’ experiences</w:t>
      </w:r>
      <w:r w:rsidR="000530A5" w:rsidRPr="008900A2">
        <w:rPr>
          <w:rFonts w:eastAsia="Times New Roman"/>
          <w:bCs w:val="0"/>
        </w:rPr>
        <w:t xml:space="preserve"> of </w:t>
      </w:r>
      <w:r w:rsidR="00974108" w:rsidRPr="008900A2">
        <w:rPr>
          <w:rFonts w:eastAsia="Times New Roman"/>
          <w:bCs w:val="0"/>
        </w:rPr>
        <w:t>suicidal ideatio</w:t>
      </w:r>
      <w:r w:rsidR="002003FC" w:rsidRPr="008900A2">
        <w:rPr>
          <w:rFonts w:eastAsia="Times New Roman"/>
          <w:bCs w:val="0"/>
        </w:rPr>
        <w:t xml:space="preserve">n </w:t>
      </w:r>
      <w:r w:rsidR="0019121F" w:rsidRPr="008900A2">
        <w:rPr>
          <w:rFonts w:eastAsia="Times New Roman"/>
          <w:bCs w:val="0"/>
        </w:rPr>
        <w:t>with urban cluster</w:t>
      </w:r>
      <w:r w:rsidR="0019121F" w:rsidRPr="008900A2">
        <w:rPr>
          <w:bCs w:val="0"/>
        </w:rPr>
        <w:t xml:space="preserve"> (</w:t>
      </w:r>
      <w:r w:rsidR="0019121F" w:rsidRPr="008900A2">
        <w:rPr>
          <w:i/>
          <w:iCs/>
        </w:rPr>
        <w:t>b</w:t>
      </w:r>
      <w:r w:rsidR="0019121F" w:rsidRPr="008900A2" w:rsidDel="00893C07">
        <w:rPr>
          <w:rFonts w:eastAsia="Times New Roman"/>
        </w:rPr>
        <w:t xml:space="preserve"> </w:t>
      </w:r>
      <w:r w:rsidR="0019121F" w:rsidRPr="008900A2">
        <w:rPr>
          <w:rFonts w:eastAsia="Times New Roman"/>
        </w:rPr>
        <w:t>=</w:t>
      </w:r>
      <w:r w:rsidR="0019121F" w:rsidRPr="008900A2">
        <w:rPr>
          <w:rFonts w:eastAsia="Times New Roman"/>
          <w:bCs w:val="0"/>
        </w:rPr>
        <w:t xml:space="preserve"> </w:t>
      </w:r>
      <w:r w:rsidR="007567AD" w:rsidRPr="008900A2">
        <w:rPr>
          <w:rFonts w:eastAsia="Times New Roman"/>
          <w:bCs w:val="0"/>
        </w:rPr>
        <w:t>0.608</w:t>
      </w:r>
      <w:r w:rsidR="0019121F" w:rsidRPr="008900A2">
        <w:rPr>
          <w:rFonts w:eastAsia="Times New Roman"/>
        </w:rPr>
        <w:t xml:space="preserve">, </w:t>
      </w:r>
      <w:r w:rsidR="0019121F" w:rsidRPr="008900A2">
        <w:rPr>
          <w:rFonts w:eastAsia="Times New Roman"/>
          <w:i/>
          <w:iCs/>
        </w:rPr>
        <w:t xml:space="preserve">SE = </w:t>
      </w:r>
      <w:r w:rsidR="007567AD" w:rsidRPr="008900A2">
        <w:rPr>
          <w:rFonts w:eastAsia="Times New Roman"/>
        </w:rPr>
        <w:t>0.164</w:t>
      </w:r>
      <w:r w:rsidR="0019121F" w:rsidRPr="008900A2">
        <w:rPr>
          <w:rFonts w:eastAsia="Times New Roman"/>
        </w:rPr>
        <w:t xml:space="preserve">, </w:t>
      </w:r>
      <w:r w:rsidR="0019121F" w:rsidRPr="008900A2">
        <w:rPr>
          <w:rFonts w:eastAsia="Times New Roman"/>
          <w:i/>
          <w:iCs/>
        </w:rPr>
        <w:t xml:space="preserve">p </w:t>
      </w:r>
      <w:r w:rsidR="0019121F" w:rsidRPr="008900A2">
        <w:rPr>
          <w:rFonts w:eastAsia="Times New Roman"/>
        </w:rPr>
        <w:t>&lt; .0</w:t>
      </w:r>
      <w:r w:rsidR="0019121F" w:rsidRPr="008900A2">
        <w:rPr>
          <w:rFonts w:eastAsia="Times New Roman"/>
          <w:bCs w:val="0"/>
        </w:rPr>
        <w:t>01</w:t>
      </w:r>
      <w:r w:rsidR="0019121F" w:rsidRPr="008900A2">
        <w:rPr>
          <w:rFonts w:eastAsia="Times New Roman"/>
        </w:rPr>
        <w:t>)</w:t>
      </w:r>
      <w:r w:rsidR="0019121F" w:rsidRPr="008900A2">
        <w:rPr>
          <w:rFonts w:eastAsia="Times New Roman"/>
          <w:bCs w:val="0"/>
        </w:rPr>
        <w:t xml:space="preserve"> and rural </w:t>
      </w:r>
      <w:r w:rsidR="0019121F" w:rsidRPr="008900A2">
        <w:rPr>
          <w:bCs w:val="0"/>
        </w:rPr>
        <w:t>(</w:t>
      </w:r>
      <w:r w:rsidR="0019121F" w:rsidRPr="008900A2">
        <w:rPr>
          <w:i/>
          <w:iCs/>
        </w:rPr>
        <w:t>b</w:t>
      </w:r>
      <w:r w:rsidR="0019121F" w:rsidRPr="008900A2" w:rsidDel="00893C07">
        <w:rPr>
          <w:rFonts w:eastAsia="Times New Roman"/>
        </w:rPr>
        <w:t xml:space="preserve"> </w:t>
      </w:r>
      <w:r w:rsidR="0019121F" w:rsidRPr="008900A2">
        <w:rPr>
          <w:rFonts w:eastAsia="Times New Roman"/>
        </w:rPr>
        <w:t>=</w:t>
      </w:r>
      <w:r w:rsidR="001101B8" w:rsidRPr="008900A2">
        <w:rPr>
          <w:rFonts w:eastAsia="Times New Roman"/>
          <w:bCs w:val="0"/>
        </w:rPr>
        <w:t xml:space="preserve"> 0.482</w:t>
      </w:r>
      <w:r w:rsidR="0019121F" w:rsidRPr="008900A2">
        <w:rPr>
          <w:rFonts w:eastAsia="Times New Roman"/>
        </w:rPr>
        <w:t xml:space="preserve">, </w:t>
      </w:r>
      <w:r w:rsidR="0019121F" w:rsidRPr="008900A2">
        <w:rPr>
          <w:rFonts w:eastAsia="Times New Roman"/>
          <w:i/>
          <w:iCs/>
        </w:rPr>
        <w:t xml:space="preserve">SE = </w:t>
      </w:r>
      <w:r w:rsidR="0019121F" w:rsidRPr="008900A2">
        <w:rPr>
          <w:rFonts w:eastAsia="Times New Roman"/>
        </w:rPr>
        <w:t>0.</w:t>
      </w:r>
      <w:r w:rsidR="001101B8" w:rsidRPr="008900A2">
        <w:rPr>
          <w:rFonts w:eastAsia="Times New Roman"/>
          <w:bCs w:val="0"/>
        </w:rPr>
        <w:t>2</w:t>
      </w:r>
      <w:r w:rsidR="001101B8" w:rsidRPr="008900A2">
        <w:rPr>
          <w:rFonts w:eastAsia="Times New Roman"/>
        </w:rPr>
        <w:t>37</w:t>
      </w:r>
      <w:r w:rsidR="0019121F" w:rsidRPr="008900A2">
        <w:rPr>
          <w:rFonts w:eastAsia="Times New Roman"/>
          <w:i/>
          <w:iCs/>
        </w:rPr>
        <w:t xml:space="preserve"> </w:t>
      </w:r>
      <w:r w:rsidR="0019121F" w:rsidRPr="008900A2">
        <w:rPr>
          <w:rFonts w:eastAsia="Times New Roman"/>
          <w:bCs w:val="0"/>
        </w:rPr>
        <w:t>=</w:t>
      </w:r>
      <w:r w:rsidR="0019121F" w:rsidRPr="008900A2">
        <w:rPr>
          <w:rFonts w:eastAsia="Times New Roman"/>
        </w:rPr>
        <w:t xml:space="preserve"> .</w:t>
      </w:r>
      <w:r w:rsidR="001101B8" w:rsidRPr="008900A2">
        <w:rPr>
          <w:rFonts w:eastAsia="Times New Roman"/>
        </w:rPr>
        <w:t>042</w:t>
      </w:r>
      <w:r w:rsidR="0019121F" w:rsidRPr="008900A2">
        <w:rPr>
          <w:rFonts w:eastAsia="Times New Roman"/>
        </w:rPr>
        <w:t>)</w:t>
      </w:r>
      <w:r w:rsidR="001101B8" w:rsidRPr="008900A2">
        <w:rPr>
          <w:rFonts w:eastAsia="Times New Roman"/>
        </w:rPr>
        <w:t xml:space="preserve"> experiencing more suicidal ideation than urban participants. </w:t>
      </w:r>
      <w:r w:rsidR="00893C07" w:rsidRPr="008900A2">
        <w:rPr>
          <w:rFonts w:eastAsia="Times New Roman"/>
          <w:bCs w:val="0"/>
        </w:rPr>
        <w:t>Finally, urban</w:t>
      </w:r>
      <w:r w:rsidR="000530A5" w:rsidRPr="008900A2">
        <w:rPr>
          <w:rFonts w:eastAsia="Times New Roman"/>
          <w:bCs w:val="0"/>
        </w:rPr>
        <w:t xml:space="preserve"> cluster participants </w:t>
      </w:r>
      <w:r w:rsidR="000530A5" w:rsidRPr="008900A2">
        <w:rPr>
          <w:bCs w:val="0"/>
        </w:rPr>
        <w:t>(</w:t>
      </w:r>
      <w:r w:rsidR="00DF71EB" w:rsidRPr="008900A2">
        <w:rPr>
          <w:i/>
          <w:iCs/>
        </w:rPr>
        <w:t>b</w:t>
      </w:r>
      <w:r w:rsidR="00893C07" w:rsidRPr="008900A2" w:rsidDel="00893C07">
        <w:rPr>
          <w:rFonts w:eastAsia="Times New Roman"/>
        </w:rPr>
        <w:t xml:space="preserve"> </w:t>
      </w:r>
      <w:r w:rsidR="000530A5" w:rsidRPr="008900A2">
        <w:rPr>
          <w:rFonts w:eastAsia="Times New Roman"/>
        </w:rPr>
        <w:t>=</w:t>
      </w:r>
      <w:r w:rsidR="000530A5" w:rsidRPr="008900A2">
        <w:rPr>
          <w:rFonts w:eastAsia="Times New Roman"/>
          <w:bCs w:val="0"/>
        </w:rPr>
        <w:t xml:space="preserve"> </w:t>
      </w:r>
      <w:r w:rsidR="00826D74" w:rsidRPr="008900A2">
        <w:rPr>
          <w:rFonts w:eastAsia="Times New Roman"/>
          <w:bCs w:val="0"/>
        </w:rPr>
        <w:t>3.466</w:t>
      </w:r>
      <w:r w:rsidR="000530A5" w:rsidRPr="008900A2">
        <w:rPr>
          <w:rFonts w:eastAsia="Times New Roman"/>
        </w:rPr>
        <w:t xml:space="preserve">, </w:t>
      </w:r>
      <w:r w:rsidR="000530A5" w:rsidRPr="008900A2">
        <w:rPr>
          <w:rFonts w:eastAsia="Times New Roman"/>
          <w:i/>
          <w:iCs/>
        </w:rPr>
        <w:t xml:space="preserve">SE = </w:t>
      </w:r>
      <w:r w:rsidR="000530A5" w:rsidRPr="008900A2">
        <w:rPr>
          <w:rFonts w:eastAsia="Times New Roman"/>
        </w:rPr>
        <w:t>0.</w:t>
      </w:r>
      <w:r w:rsidR="002003FC" w:rsidRPr="008900A2">
        <w:rPr>
          <w:rFonts w:eastAsia="Times New Roman"/>
          <w:bCs w:val="0"/>
        </w:rPr>
        <w:t>6</w:t>
      </w:r>
      <w:r w:rsidR="00826D74" w:rsidRPr="008900A2">
        <w:rPr>
          <w:rFonts w:eastAsia="Times New Roman"/>
          <w:bCs w:val="0"/>
        </w:rPr>
        <w:t>56</w:t>
      </w:r>
      <w:r w:rsidR="000530A5" w:rsidRPr="008900A2">
        <w:rPr>
          <w:rFonts w:eastAsia="Times New Roman"/>
        </w:rPr>
        <w:t xml:space="preserve">, </w:t>
      </w:r>
      <w:r w:rsidR="000530A5" w:rsidRPr="008900A2">
        <w:rPr>
          <w:rFonts w:eastAsia="Times New Roman"/>
          <w:i/>
          <w:iCs/>
        </w:rPr>
        <w:t xml:space="preserve">p </w:t>
      </w:r>
      <w:r w:rsidR="00826D74" w:rsidRPr="008900A2">
        <w:rPr>
          <w:rFonts w:eastAsia="Times New Roman"/>
          <w:bCs w:val="0"/>
        </w:rPr>
        <w:t xml:space="preserve">&lt; </w:t>
      </w:r>
      <w:r w:rsidR="000530A5" w:rsidRPr="008900A2">
        <w:rPr>
          <w:rFonts w:eastAsia="Times New Roman"/>
        </w:rPr>
        <w:t>.0</w:t>
      </w:r>
      <w:r w:rsidR="002003FC" w:rsidRPr="008900A2">
        <w:rPr>
          <w:rFonts w:eastAsia="Times New Roman"/>
          <w:bCs w:val="0"/>
        </w:rPr>
        <w:t>0</w:t>
      </w:r>
      <w:r w:rsidR="00826D74" w:rsidRPr="008900A2">
        <w:rPr>
          <w:rFonts w:eastAsia="Times New Roman"/>
          <w:bCs w:val="0"/>
        </w:rPr>
        <w:t>1</w:t>
      </w:r>
      <w:r w:rsidR="00893C07" w:rsidRPr="008900A2">
        <w:rPr>
          <w:rFonts w:eastAsia="Times New Roman"/>
          <w:bCs w:val="0"/>
        </w:rPr>
        <w:t>)</w:t>
      </w:r>
      <w:r w:rsidR="000530A5" w:rsidRPr="008900A2">
        <w:rPr>
          <w:rFonts w:eastAsia="Times New Roman"/>
          <w:bCs w:val="0"/>
        </w:rPr>
        <w:t xml:space="preserve"> reported experiencing higher levels of anxiety than urban participants.</w:t>
      </w:r>
      <w:r w:rsidR="00E60B43" w:rsidRPr="008900A2">
        <w:rPr>
          <w:rFonts w:eastAsia="Times New Roman"/>
          <w:bCs w:val="0"/>
        </w:rPr>
        <w:t xml:space="preserve"> Rural participants did not report significantly more symptoms of anxiety than urban participants (</w:t>
      </w:r>
      <w:r w:rsidR="00E60B43" w:rsidRPr="008900A2">
        <w:rPr>
          <w:rFonts w:eastAsia="Times New Roman"/>
          <w:bCs w:val="0"/>
          <w:i/>
          <w:iCs/>
        </w:rPr>
        <w:t>p</w:t>
      </w:r>
      <w:r w:rsidR="00E60B43" w:rsidRPr="008900A2">
        <w:rPr>
          <w:rFonts w:eastAsia="Times New Roman"/>
          <w:bCs w:val="0"/>
        </w:rPr>
        <w:t xml:space="preserve"> = .585).</w:t>
      </w:r>
    </w:p>
    <w:p w14:paraId="7A4B9768" w14:textId="04E3DF43" w:rsidR="00915B82" w:rsidRPr="008900A2" w:rsidRDefault="0047565C" w:rsidP="00FE2C8F">
      <w:pPr>
        <w:spacing w:after="0" w:line="480" w:lineRule="auto"/>
        <w:ind w:firstLine="720"/>
        <w:rPr>
          <w:rFonts w:eastAsia="Times New Roman"/>
        </w:rPr>
      </w:pPr>
      <w:r w:rsidRPr="008900A2">
        <w:rPr>
          <w:b/>
          <w:bCs w:val="0"/>
          <w:i/>
          <w:iCs/>
        </w:rPr>
        <w:t xml:space="preserve">Aim 2. </w:t>
      </w:r>
      <w:r w:rsidR="00FD26E8" w:rsidRPr="008900A2">
        <w:rPr>
          <w:b/>
          <w:bCs w:val="0"/>
          <w:i/>
          <w:iCs/>
        </w:rPr>
        <w:t xml:space="preserve">Distal Marginalization Stressors. </w:t>
      </w:r>
      <w:r w:rsidR="00915B82" w:rsidRPr="008900A2">
        <w:rPr>
          <w:rFonts w:eastAsia="Times New Roman"/>
          <w:bCs w:val="0"/>
        </w:rPr>
        <w:t>There were significant differences between urban cluster and urban participants’ experiences of gender-related</w:t>
      </w:r>
      <w:r w:rsidR="00915B82" w:rsidRPr="008900A2">
        <w:rPr>
          <w:rFonts w:eastAsia="Times New Roman"/>
        </w:rPr>
        <w:t xml:space="preserve"> rejection </w:t>
      </w:r>
      <w:r w:rsidR="00915B82" w:rsidRPr="008900A2">
        <w:rPr>
          <w:bCs w:val="0"/>
        </w:rPr>
        <w:t>(</w:t>
      </w:r>
      <w:r w:rsidR="00915B82" w:rsidRPr="008900A2">
        <w:rPr>
          <w:i/>
          <w:iCs/>
        </w:rPr>
        <w:t>b</w:t>
      </w:r>
      <w:r w:rsidR="00915B82" w:rsidRPr="008900A2" w:rsidDel="00893C07">
        <w:rPr>
          <w:rFonts w:eastAsia="Times New Roman"/>
        </w:rPr>
        <w:t xml:space="preserve"> </w:t>
      </w:r>
      <w:r w:rsidR="00915B82" w:rsidRPr="008900A2">
        <w:rPr>
          <w:rFonts w:eastAsia="Times New Roman"/>
        </w:rPr>
        <w:t>=</w:t>
      </w:r>
      <w:r w:rsidR="00915B82" w:rsidRPr="008900A2">
        <w:rPr>
          <w:rFonts w:eastAsia="Times New Roman"/>
          <w:bCs w:val="0"/>
        </w:rPr>
        <w:t xml:space="preserve"> 0.8</w:t>
      </w:r>
      <w:r w:rsidR="00DE0B4D" w:rsidRPr="008900A2">
        <w:rPr>
          <w:rFonts w:eastAsia="Times New Roman"/>
          <w:bCs w:val="0"/>
        </w:rPr>
        <w:t>8</w:t>
      </w:r>
      <w:r w:rsidR="00A738B2" w:rsidRPr="008900A2">
        <w:rPr>
          <w:rFonts w:eastAsia="Times New Roman"/>
          <w:bCs w:val="0"/>
        </w:rPr>
        <w:t>7</w:t>
      </w:r>
      <w:r w:rsidR="00915B82" w:rsidRPr="008900A2">
        <w:rPr>
          <w:rFonts w:eastAsia="Times New Roman"/>
        </w:rPr>
        <w:t xml:space="preserve">, </w:t>
      </w:r>
      <w:r w:rsidR="00915B82" w:rsidRPr="008900A2">
        <w:rPr>
          <w:rFonts w:eastAsia="Times New Roman"/>
          <w:i/>
          <w:iCs/>
        </w:rPr>
        <w:t xml:space="preserve">SE = </w:t>
      </w:r>
      <w:r w:rsidR="00915B82" w:rsidRPr="008900A2">
        <w:rPr>
          <w:rFonts w:eastAsia="Times New Roman"/>
          <w:bCs w:val="0"/>
        </w:rPr>
        <w:t>0.3</w:t>
      </w:r>
      <w:r w:rsidR="000023FF" w:rsidRPr="008900A2">
        <w:rPr>
          <w:rFonts w:eastAsia="Times New Roman"/>
          <w:bCs w:val="0"/>
        </w:rPr>
        <w:t>0</w:t>
      </w:r>
      <w:r w:rsidR="00DE0B4D" w:rsidRPr="008900A2">
        <w:rPr>
          <w:rFonts w:eastAsia="Times New Roman"/>
          <w:bCs w:val="0"/>
        </w:rPr>
        <w:t>6</w:t>
      </w:r>
      <w:r w:rsidR="00915B82" w:rsidRPr="008900A2">
        <w:rPr>
          <w:rFonts w:eastAsia="Times New Roman"/>
        </w:rPr>
        <w:t xml:space="preserve">, </w:t>
      </w:r>
      <w:r w:rsidR="00915B82" w:rsidRPr="008900A2">
        <w:rPr>
          <w:rFonts w:eastAsia="Times New Roman"/>
          <w:i/>
          <w:iCs/>
        </w:rPr>
        <w:t xml:space="preserve">p </w:t>
      </w:r>
      <w:r w:rsidR="00915B82" w:rsidRPr="008900A2">
        <w:rPr>
          <w:rFonts w:eastAsia="Times New Roman"/>
        </w:rPr>
        <w:t>= .0</w:t>
      </w:r>
      <w:r w:rsidR="00915B82" w:rsidRPr="008900A2">
        <w:rPr>
          <w:rFonts w:eastAsia="Times New Roman"/>
          <w:bCs w:val="0"/>
        </w:rPr>
        <w:t>0</w:t>
      </w:r>
      <w:r w:rsidR="000023FF" w:rsidRPr="008900A2">
        <w:rPr>
          <w:rFonts w:eastAsia="Times New Roman"/>
          <w:bCs w:val="0"/>
        </w:rPr>
        <w:t>4</w:t>
      </w:r>
      <w:r w:rsidR="00915B82" w:rsidRPr="008900A2">
        <w:rPr>
          <w:rFonts w:eastAsia="Times New Roman"/>
        </w:rPr>
        <w:t>)</w:t>
      </w:r>
      <w:r w:rsidR="0051414C" w:rsidRPr="008900A2">
        <w:rPr>
          <w:rFonts w:eastAsia="Times New Roman"/>
        </w:rPr>
        <w:t>, discrim</w:t>
      </w:r>
      <w:r w:rsidR="00915B82" w:rsidRPr="008900A2">
        <w:rPr>
          <w:rFonts w:eastAsia="Times New Roman"/>
        </w:rPr>
        <w:t xml:space="preserve">ination </w:t>
      </w:r>
      <w:r w:rsidR="00915B82" w:rsidRPr="008900A2">
        <w:rPr>
          <w:bCs w:val="0"/>
        </w:rPr>
        <w:t>(</w:t>
      </w:r>
      <w:r w:rsidR="00915B82" w:rsidRPr="008900A2">
        <w:rPr>
          <w:i/>
          <w:iCs/>
        </w:rPr>
        <w:t>b</w:t>
      </w:r>
      <w:r w:rsidR="00915B82" w:rsidRPr="008900A2" w:rsidDel="00893C07">
        <w:rPr>
          <w:rFonts w:eastAsia="Times New Roman"/>
        </w:rPr>
        <w:t xml:space="preserve"> </w:t>
      </w:r>
      <w:r w:rsidR="00915B82" w:rsidRPr="008900A2">
        <w:rPr>
          <w:rFonts w:eastAsia="Times New Roman"/>
        </w:rPr>
        <w:t>=</w:t>
      </w:r>
      <w:r w:rsidR="00915B82" w:rsidRPr="008900A2">
        <w:rPr>
          <w:rFonts w:eastAsia="Times New Roman"/>
          <w:bCs w:val="0"/>
        </w:rPr>
        <w:t xml:space="preserve"> 0.</w:t>
      </w:r>
      <w:r w:rsidR="00982B2B" w:rsidRPr="008900A2">
        <w:rPr>
          <w:rFonts w:eastAsia="Times New Roman"/>
          <w:bCs w:val="0"/>
        </w:rPr>
        <w:t>6</w:t>
      </w:r>
      <w:r w:rsidR="003A02B8" w:rsidRPr="008900A2">
        <w:rPr>
          <w:rFonts w:eastAsia="Times New Roman"/>
          <w:bCs w:val="0"/>
        </w:rPr>
        <w:t>5</w:t>
      </w:r>
      <w:r w:rsidR="00207C46" w:rsidRPr="008900A2">
        <w:rPr>
          <w:rFonts w:eastAsia="Times New Roman"/>
          <w:bCs w:val="0"/>
        </w:rPr>
        <w:t>0</w:t>
      </w:r>
      <w:r w:rsidR="00915B82" w:rsidRPr="008900A2">
        <w:rPr>
          <w:rFonts w:eastAsia="Times New Roman"/>
        </w:rPr>
        <w:t xml:space="preserve">, </w:t>
      </w:r>
      <w:r w:rsidR="00915B82" w:rsidRPr="008900A2">
        <w:rPr>
          <w:rFonts w:eastAsia="Times New Roman"/>
          <w:i/>
          <w:iCs/>
        </w:rPr>
        <w:t xml:space="preserve">SE = </w:t>
      </w:r>
      <w:r w:rsidR="00915B82" w:rsidRPr="008900A2">
        <w:rPr>
          <w:rFonts w:eastAsia="Times New Roman"/>
          <w:bCs w:val="0"/>
        </w:rPr>
        <w:t>0.</w:t>
      </w:r>
      <w:r w:rsidR="003A02B8" w:rsidRPr="008900A2">
        <w:rPr>
          <w:rFonts w:eastAsia="Times New Roman"/>
          <w:bCs w:val="0"/>
        </w:rPr>
        <w:t>260</w:t>
      </w:r>
      <w:r w:rsidR="00915B82" w:rsidRPr="008900A2">
        <w:rPr>
          <w:rFonts w:eastAsia="Times New Roman"/>
        </w:rPr>
        <w:t xml:space="preserve">, </w:t>
      </w:r>
      <w:r w:rsidR="00915B82" w:rsidRPr="008900A2">
        <w:rPr>
          <w:rFonts w:eastAsia="Times New Roman"/>
          <w:i/>
          <w:iCs/>
        </w:rPr>
        <w:t xml:space="preserve">p </w:t>
      </w:r>
      <w:r w:rsidR="00915B82" w:rsidRPr="008900A2">
        <w:rPr>
          <w:rFonts w:eastAsia="Times New Roman"/>
        </w:rPr>
        <w:t>= .</w:t>
      </w:r>
      <w:r w:rsidR="00444EB6" w:rsidRPr="008900A2">
        <w:rPr>
          <w:rFonts w:eastAsia="Times New Roman"/>
        </w:rPr>
        <w:t>0</w:t>
      </w:r>
      <w:r w:rsidR="003A02B8" w:rsidRPr="008900A2">
        <w:rPr>
          <w:rFonts w:eastAsia="Times New Roman"/>
        </w:rPr>
        <w:t>1</w:t>
      </w:r>
      <w:r w:rsidR="00207C46" w:rsidRPr="008900A2">
        <w:rPr>
          <w:rFonts w:eastAsia="Times New Roman"/>
        </w:rPr>
        <w:t>2</w:t>
      </w:r>
      <w:r w:rsidR="00915B82" w:rsidRPr="008900A2">
        <w:rPr>
          <w:rFonts w:eastAsia="Times New Roman"/>
        </w:rPr>
        <w:t>)</w:t>
      </w:r>
      <w:r w:rsidR="00AF099A" w:rsidRPr="008900A2">
        <w:rPr>
          <w:rFonts w:eastAsia="Times New Roman"/>
        </w:rPr>
        <w:t xml:space="preserve">, victimization </w:t>
      </w:r>
      <w:r w:rsidR="00AF099A" w:rsidRPr="008900A2">
        <w:rPr>
          <w:bCs w:val="0"/>
        </w:rPr>
        <w:t>(</w:t>
      </w:r>
      <w:r w:rsidR="00AF099A" w:rsidRPr="008900A2">
        <w:rPr>
          <w:i/>
          <w:iCs/>
        </w:rPr>
        <w:t>b</w:t>
      </w:r>
      <w:r w:rsidR="00AF099A" w:rsidRPr="008900A2" w:rsidDel="00893C07">
        <w:rPr>
          <w:rFonts w:eastAsia="Times New Roman"/>
        </w:rPr>
        <w:t xml:space="preserve"> </w:t>
      </w:r>
      <w:r w:rsidR="00AF099A" w:rsidRPr="008900A2">
        <w:rPr>
          <w:rFonts w:eastAsia="Times New Roman"/>
        </w:rPr>
        <w:t>=</w:t>
      </w:r>
      <w:r w:rsidR="00AF099A" w:rsidRPr="008900A2">
        <w:rPr>
          <w:rFonts w:eastAsia="Times New Roman"/>
          <w:bCs w:val="0"/>
        </w:rPr>
        <w:t xml:space="preserve"> 0.7</w:t>
      </w:r>
      <w:r w:rsidR="00207C46" w:rsidRPr="008900A2">
        <w:rPr>
          <w:rFonts w:eastAsia="Times New Roman"/>
          <w:bCs w:val="0"/>
        </w:rPr>
        <w:t>64</w:t>
      </w:r>
      <w:r w:rsidR="00AF099A" w:rsidRPr="008900A2">
        <w:rPr>
          <w:rFonts w:eastAsia="Times New Roman"/>
        </w:rPr>
        <w:t xml:space="preserve">, </w:t>
      </w:r>
      <w:r w:rsidR="00AF099A" w:rsidRPr="008900A2">
        <w:rPr>
          <w:rFonts w:eastAsia="Times New Roman"/>
          <w:i/>
          <w:iCs/>
        </w:rPr>
        <w:t xml:space="preserve">SE = </w:t>
      </w:r>
      <w:r w:rsidR="00AF099A" w:rsidRPr="008900A2">
        <w:rPr>
          <w:rFonts w:eastAsia="Times New Roman"/>
          <w:bCs w:val="0"/>
        </w:rPr>
        <w:t>0.3</w:t>
      </w:r>
      <w:r w:rsidR="00444EB6" w:rsidRPr="008900A2">
        <w:rPr>
          <w:rFonts w:eastAsia="Times New Roman"/>
          <w:bCs w:val="0"/>
        </w:rPr>
        <w:t>50</w:t>
      </w:r>
      <w:r w:rsidR="00AF099A" w:rsidRPr="008900A2">
        <w:rPr>
          <w:rFonts w:eastAsia="Times New Roman"/>
        </w:rPr>
        <w:t xml:space="preserve">, </w:t>
      </w:r>
      <w:r w:rsidR="00AF099A" w:rsidRPr="008900A2">
        <w:rPr>
          <w:rFonts w:eastAsia="Times New Roman"/>
          <w:i/>
          <w:iCs/>
        </w:rPr>
        <w:t xml:space="preserve">p </w:t>
      </w:r>
      <w:r w:rsidR="00AF099A" w:rsidRPr="008900A2">
        <w:rPr>
          <w:rFonts w:eastAsia="Times New Roman"/>
        </w:rPr>
        <w:t>= .0</w:t>
      </w:r>
      <w:r w:rsidR="00AF099A" w:rsidRPr="008900A2">
        <w:rPr>
          <w:rFonts w:eastAsia="Times New Roman"/>
          <w:bCs w:val="0"/>
        </w:rPr>
        <w:t>2</w:t>
      </w:r>
      <w:r w:rsidR="00B15535" w:rsidRPr="008900A2">
        <w:rPr>
          <w:rFonts w:eastAsia="Times New Roman"/>
          <w:bCs w:val="0"/>
        </w:rPr>
        <w:t>9</w:t>
      </w:r>
      <w:r w:rsidR="00AF099A" w:rsidRPr="008900A2">
        <w:rPr>
          <w:rFonts w:eastAsia="Times New Roman"/>
        </w:rPr>
        <w:t xml:space="preserve">), </w:t>
      </w:r>
      <w:r w:rsidR="00AD3D88" w:rsidRPr="008900A2">
        <w:rPr>
          <w:rFonts w:eastAsia="Times New Roman"/>
        </w:rPr>
        <w:t xml:space="preserve">and </w:t>
      </w:r>
      <w:r w:rsidR="00AF099A" w:rsidRPr="008900A2">
        <w:rPr>
          <w:rFonts w:eastAsia="Times New Roman"/>
        </w:rPr>
        <w:t xml:space="preserve">non-affirmation </w:t>
      </w:r>
      <w:r w:rsidR="00AF099A" w:rsidRPr="008900A2">
        <w:rPr>
          <w:bCs w:val="0"/>
        </w:rPr>
        <w:t>(</w:t>
      </w:r>
      <w:r w:rsidR="00AF099A" w:rsidRPr="008900A2">
        <w:rPr>
          <w:i/>
          <w:iCs/>
        </w:rPr>
        <w:t>b</w:t>
      </w:r>
      <w:r w:rsidR="00AF099A" w:rsidRPr="008900A2" w:rsidDel="00893C07">
        <w:rPr>
          <w:rFonts w:eastAsia="Times New Roman"/>
        </w:rPr>
        <w:t xml:space="preserve"> </w:t>
      </w:r>
      <w:r w:rsidR="00AF099A" w:rsidRPr="008900A2">
        <w:rPr>
          <w:rFonts w:eastAsia="Times New Roman"/>
        </w:rPr>
        <w:t>=</w:t>
      </w:r>
      <w:r w:rsidR="00AF099A" w:rsidRPr="008900A2">
        <w:rPr>
          <w:rFonts w:eastAsia="Times New Roman"/>
          <w:bCs w:val="0"/>
        </w:rPr>
        <w:t xml:space="preserve"> </w:t>
      </w:r>
      <w:r w:rsidR="003A02B8" w:rsidRPr="008900A2">
        <w:rPr>
          <w:rFonts w:eastAsia="Times New Roman"/>
          <w:bCs w:val="0"/>
        </w:rPr>
        <w:t>1</w:t>
      </w:r>
      <w:r w:rsidR="00AF099A" w:rsidRPr="008900A2">
        <w:rPr>
          <w:rFonts w:eastAsia="Times New Roman"/>
          <w:bCs w:val="0"/>
        </w:rPr>
        <w:t>.</w:t>
      </w:r>
      <w:r w:rsidR="00B15535" w:rsidRPr="008900A2">
        <w:rPr>
          <w:rFonts w:eastAsia="Times New Roman"/>
          <w:bCs w:val="0"/>
        </w:rPr>
        <w:t>657</w:t>
      </w:r>
      <w:r w:rsidR="00AF099A" w:rsidRPr="008900A2">
        <w:rPr>
          <w:rFonts w:eastAsia="Times New Roman"/>
        </w:rPr>
        <w:t xml:space="preserve">, </w:t>
      </w:r>
      <w:r w:rsidR="00AF099A" w:rsidRPr="008900A2">
        <w:rPr>
          <w:rFonts w:eastAsia="Times New Roman"/>
          <w:i/>
          <w:iCs/>
        </w:rPr>
        <w:t xml:space="preserve">SE = </w:t>
      </w:r>
      <w:r w:rsidR="00AF099A" w:rsidRPr="008900A2">
        <w:rPr>
          <w:rFonts w:eastAsia="Times New Roman"/>
          <w:bCs w:val="0"/>
        </w:rPr>
        <w:t>0.</w:t>
      </w:r>
      <w:r w:rsidR="000E4176" w:rsidRPr="008900A2">
        <w:rPr>
          <w:rFonts w:eastAsia="Times New Roman"/>
          <w:bCs w:val="0"/>
        </w:rPr>
        <w:t>7</w:t>
      </w:r>
      <w:r w:rsidR="00B15535" w:rsidRPr="008900A2">
        <w:rPr>
          <w:rFonts w:eastAsia="Times New Roman"/>
          <w:bCs w:val="0"/>
        </w:rPr>
        <w:t>56</w:t>
      </w:r>
      <w:r w:rsidR="00AF099A" w:rsidRPr="008900A2">
        <w:rPr>
          <w:rFonts w:eastAsia="Times New Roman"/>
        </w:rPr>
        <w:t xml:space="preserve">, </w:t>
      </w:r>
      <w:r w:rsidR="00AF099A" w:rsidRPr="008900A2">
        <w:rPr>
          <w:rFonts w:eastAsia="Times New Roman"/>
          <w:i/>
          <w:iCs/>
        </w:rPr>
        <w:t xml:space="preserve">p </w:t>
      </w:r>
      <w:r w:rsidR="00AF099A" w:rsidRPr="008900A2">
        <w:rPr>
          <w:rFonts w:eastAsia="Times New Roman"/>
        </w:rPr>
        <w:t>= .0</w:t>
      </w:r>
      <w:r w:rsidR="000E4176" w:rsidRPr="008900A2">
        <w:rPr>
          <w:rFonts w:eastAsia="Times New Roman"/>
          <w:bCs w:val="0"/>
        </w:rPr>
        <w:t>28</w:t>
      </w:r>
      <w:r w:rsidR="00AF099A" w:rsidRPr="008900A2">
        <w:rPr>
          <w:rFonts w:eastAsia="Times New Roman"/>
        </w:rPr>
        <w:t>)</w:t>
      </w:r>
      <w:r w:rsidR="00C01D3D" w:rsidRPr="008900A2">
        <w:rPr>
          <w:rFonts w:eastAsia="Times New Roman"/>
        </w:rPr>
        <w:t xml:space="preserve"> with urban cluster participants reporting more experiences of these marginalization stressors than urban participants. </w:t>
      </w:r>
      <w:r w:rsidR="003074F5" w:rsidRPr="008900A2">
        <w:rPr>
          <w:rFonts w:eastAsia="Times New Roman"/>
        </w:rPr>
        <w:t>Compared with urban participants, r</w:t>
      </w:r>
      <w:r w:rsidR="00915B82" w:rsidRPr="008900A2">
        <w:rPr>
          <w:rFonts w:eastAsia="Times New Roman"/>
        </w:rPr>
        <w:t xml:space="preserve">ural participants reported more experiences of </w:t>
      </w:r>
      <w:r w:rsidR="00754F4E" w:rsidRPr="008900A2">
        <w:rPr>
          <w:rFonts w:eastAsia="Times New Roman"/>
        </w:rPr>
        <w:t xml:space="preserve">gender-related </w:t>
      </w:r>
      <w:r w:rsidR="00915B82" w:rsidRPr="008900A2">
        <w:rPr>
          <w:rFonts w:eastAsia="Times New Roman"/>
        </w:rPr>
        <w:t xml:space="preserve">victimization </w:t>
      </w:r>
      <w:r w:rsidR="00F95A1D" w:rsidRPr="008900A2">
        <w:rPr>
          <w:bCs w:val="0"/>
        </w:rPr>
        <w:t>(</w:t>
      </w:r>
      <w:r w:rsidR="00F95A1D" w:rsidRPr="008900A2">
        <w:rPr>
          <w:i/>
          <w:iCs/>
        </w:rPr>
        <w:t>b</w:t>
      </w:r>
      <w:r w:rsidR="00F95A1D" w:rsidRPr="008900A2" w:rsidDel="00893C07">
        <w:rPr>
          <w:rFonts w:eastAsia="Times New Roman"/>
        </w:rPr>
        <w:t xml:space="preserve"> </w:t>
      </w:r>
      <w:r w:rsidR="00F95A1D" w:rsidRPr="008900A2">
        <w:rPr>
          <w:rFonts w:eastAsia="Times New Roman"/>
        </w:rPr>
        <w:t>=</w:t>
      </w:r>
      <w:r w:rsidR="00F95A1D" w:rsidRPr="008900A2">
        <w:rPr>
          <w:rFonts w:eastAsia="Times New Roman"/>
          <w:bCs w:val="0"/>
        </w:rPr>
        <w:t xml:space="preserve"> 1.</w:t>
      </w:r>
      <w:r w:rsidR="008F5970" w:rsidRPr="008900A2">
        <w:rPr>
          <w:rFonts w:eastAsia="Times New Roman"/>
          <w:bCs w:val="0"/>
        </w:rPr>
        <w:t>231</w:t>
      </w:r>
      <w:r w:rsidR="00F95A1D" w:rsidRPr="008900A2">
        <w:rPr>
          <w:rFonts w:eastAsia="Times New Roman"/>
        </w:rPr>
        <w:t xml:space="preserve">, </w:t>
      </w:r>
      <w:r w:rsidR="00F95A1D" w:rsidRPr="008900A2">
        <w:rPr>
          <w:rFonts w:eastAsia="Times New Roman"/>
          <w:i/>
          <w:iCs/>
        </w:rPr>
        <w:t xml:space="preserve">SE = </w:t>
      </w:r>
      <w:r w:rsidR="00F95A1D" w:rsidRPr="008900A2">
        <w:rPr>
          <w:rFonts w:eastAsia="Times New Roman"/>
          <w:bCs w:val="0"/>
        </w:rPr>
        <w:t>0.</w:t>
      </w:r>
      <w:r w:rsidR="008F5970" w:rsidRPr="008900A2">
        <w:rPr>
          <w:rFonts w:eastAsia="Times New Roman"/>
          <w:bCs w:val="0"/>
        </w:rPr>
        <w:t>518</w:t>
      </w:r>
      <w:r w:rsidR="00581A75" w:rsidRPr="008900A2">
        <w:rPr>
          <w:rFonts w:eastAsia="Times New Roman"/>
          <w:bCs w:val="0"/>
        </w:rPr>
        <w:t>,</w:t>
      </w:r>
      <w:r w:rsidR="00F95A1D" w:rsidRPr="008900A2">
        <w:rPr>
          <w:rFonts w:eastAsia="Times New Roman"/>
        </w:rPr>
        <w:t xml:space="preserve"> </w:t>
      </w:r>
      <w:r w:rsidR="00F95A1D" w:rsidRPr="008900A2">
        <w:rPr>
          <w:rFonts w:eastAsia="Times New Roman"/>
          <w:i/>
          <w:iCs/>
        </w:rPr>
        <w:t xml:space="preserve">p </w:t>
      </w:r>
      <w:r w:rsidR="00F95A1D" w:rsidRPr="008900A2">
        <w:rPr>
          <w:rFonts w:eastAsia="Times New Roman"/>
        </w:rPr>
        <w:t>= .0</w:t>
      </w:r>
      <w:r w:rsidR="00241DE8" w:rsidRPr="008900A2">
        <w:rPr>
          <w:rFonts w:eastAsia="Times New Roman"/>
          <w:bCs w:val="0"/>
        </w:rPr>
        <w:t>1</w:t>
      </w:r>
      <w:r w:rsidR="008F5970" w:rsidRPr="008900A2">
        <w:rPr>
          <w:rFonts w:eastAsia="Times New Roman"/>
          <w:bCs w:val="0"/>
        </w:rPr>
        <w:t>7</w:t>
      </w:r>
      <w:r w:rsidR="00F95A1D" w:rsidRPr="008900A2">
        <w:rPr>
          <w:rFonts w:eastAsia="Times New Roman"/>
        </w:rPr>
        <w:t xml:space="preserve">), </w:t>
      </w:r>
      <w:r w:rsidR="0029454C">
        <w:rPr>
          <w:rFonts w:eastAsia="Times New Roman"/>
        </w:rPr>
        <w:t>r</w:t>
      </w:r>
      <w:r w:rsidR="001D796D">
        <w:rPr>
          <w:rFonts w:eastAsia="Times New Roman"/>
        </w:rPr>
        <w:t xml:space="preserve">ejection </w:t>
      </w:r>
      <w:r w:rsidR="001D796D" w:rsidRPr="008900A2">
        <w:rPr>
          <w:bCs w:val="0"/>
        </w:rPr>
        <w:t>(</w:t>
      </w:r>
      <w:r w:rsidR="001D796D" w:rsidRPr="008900A2">
        <w:rPr>
          <w:i/>
          <w:iCs/>
        </w:rPr>
        <w:t>b</w:t>
      </w:r>
      <w:r w:rsidR="001D796D" w:rsidRPr="008900A2" w:rsidDel="00893C07">
        <w:rPr>
          <w:rFonts w:eastAsia="Times New Roman"/>
        </w:rPr>
        <w:t xml:space="preserve"> </w:t>
      </w:r>
      <w:r w:rsidR="001D796D" w:rsidRPr="008900A2">
        <w:rPr>
          <w:rFonts w:eastAsia="Times New Roman"/>
        </w:rPr>
        <w:t>=</w:t>
      </w:r>
      <w:r w:rsidR="001D796D" w:rsidRPr="008900A2">
        <w:rPr>
          <w:rFonts w:eastAsia="Times New Roman"/>
          <w:bCs w:val="0"/>
        </w:rPr>
        <w:t xml:space="preserve"> </w:t>
      </w:r>
      <w:r w:rsidR="00185F7B">
        <w:rPr>
          <w:rFonts w:eastAsia="Times New Roman"/>
          <w:bCs w:val="0"/>
        </w:rPr>
        <w:t>0</w:t>
      </w:r>
      <w:r w:rsidR="001D796D" w:rsidRPr="008900A2">
        <w:rPr>
          <w:rFonts w:eastAsia="Times New Roman"/>
          <w:bCs w:val="0"/>
        </w:rPr>
        <w:t>.</w:t>
      </w:r>
      <w:r w:rsidR="00185F7B">
        <w:rPr>
          <w:rFonts w:eastAsia="Times New Roman"/>
          <w:bCs w:val="0"/>
        </w:rPr>
        <w:t>938</w:t>
      </w:r>
      <w:r w:rsidR="001D796D" w:rsidRPr="008900A2">
        <w:rPr>
          <w:rFonts w:eastAsia="Times New Roman"/>
        </w:rPr>
        <w:t xml:space="preserve">, </w:t>
      </w:r>
      <w:r w:rsidR="001D796D" w:rsidRPr="008900A2">
        <w:rPr>
          <w:rFonts w:eastAsia="Times New Roman"/>
          <w:i/>
          <w:iCs/>
        </w:rPr>
        <w:t xml:space="preserve">SE = </w:t>
      </w:r>
      <w:r w:rsidR="001D796D" w:rsidRPr="008900A2">
        <w:rPr>
          <w:rFonts w:eastAsia="Times New Roman"/>
          <w:bCs w:val="0"/>
        </w:rPr>
        <w:t>0.</w:t>
      </w:r>
      <w:r w:rsidR="00185F7B">
        <w:rPr>
          <w:rFonts w:eastAsia="Times New Roman"/>
          <w:bCs w:val="0"/>
        </w:rPr>
        <w:t>447</w:t>
      </w:r>
      <w:r w:rsidR="001D796D" w:rsidRPr="008900A2">
        <w:rPr>
          <w:rFonts w:eastAsia="Times New Roman"/>
          <w:bCs w:val="0"/>
        </w:rPr>
        <w:t>,</w:t>
      </w:r>
      <w:r w:rsidR="001D796D" w:rsidRPr="008900A2">
        <w:rPr>
          <w:rFonts w:eastAsia="Times New Roman"/>
        </w:rPr>
        <w:t xml:space="preserve"> </w:t>
      </w:r>
      <w:r w:rsidR="001D796D" w:rsidRPr="008900A2">
        <w:rPr>
          <w:rFonts w:eastAsia="Times New Roman"/>
          <w:i/>
          <w:iCs/>
        </w:rPr>
        <w:t xml:space="preserve">p </w:t>
      </w:r>
      <w:r w:rsidR="001D796D" w:rsidRPr="008900A2">
        <w:rPr>
          <w:rFonts w:eastAsia="Times New Roman"/>
        </w:rPr>
        <w:t>= .0</w:t>
      </w:r>
      <w:r w:rsidR="00185F7B">
        <w:rPr>
          <w:rFonts w:eastAsia="Times New Roman"/>
          <w:bCs w:val="0"/>
        </w:rPr>
        <w:t>36</w:t>
      </w:r>
      <w:r w:rsidR="001D796D" w:rsidRPr="008900A2">
        <w:rPr>
          <w:rFonts w:eastAsia="Times New Roman"/>
        </w:rPr>
        <w:t>)</w:t>
      </w:r>
      <w:r w:rsidR="00185F7B">
        <w:rPr>
          <w:rFonts w:eastAsia="Times New Roman"/>
        </w:rPr>
        <w:t xml:space="preserve">, </w:t>
      </w:r>
      <w:r w:rsidR="007D1DAB" w:rsidRPr="008900A2">
        <w:rPr>
          <w:rFonts w:eastAsia="Times New Roman"/>
        </w:rPr>
        <w:t xml:space="preserve">discrimination </w:t>
      </w:r>
      <w:r w:rsidR="00754F4E" w:rsidRPr="008900A2">
        <w:rPr>
          <w:bCs w:val="0"/>
        </w:rPr>
        <w:t>(</w:t>
      </w:r>
      <w:r w:rsidR="00754F4E" w:rsidRPr="008900A2">
        <w:rPr>
          <w:i/>
          <w:iCs/>
        </w:rPr>
        <w:t>b</w:t>
      </w:r>
      <w:r w:rsidR="00754F4E" w:rsidRPr="008900A2" w:rsidDel="00893C07">
        <w:rPr>
          <w:rFonts w:eastAsia="Times New Roman"/>
        </w:rPr>
        <w:t xml:space="preserve"> </w:t>
      </w:r>
      <w:r w:rsidR="00754F4E" w:rsidRPr="008900A2">
        <w:rPr>
          <w:rFonts w:eastAsia="Times New Roman"/>
        </w:rPr>
        <w:t>=</w:t>
      </w:r>
      <w:r w:rsidR="00754F4E" w:rsidRPr="008900A2">
        <w:rPr>
          <w:rFonts w:eastAsia="Times New Roman"/>
          <w:bCs w:val="0"/>
        </w:rPr>
        <w:t xml:space="preserve"> </w:t>
      </w:r>
      <w:r w:rsidR="00241DE8" w:rsidRPr="008900A2">
        <w:rPr>
          <w:rFonts w:eastAsia="Times New Roman"/>
          <w:bCs w:val="0"/>
        </w:rPr>
        <w:t>0.8</w:t>
      </w:r>
      <w:r w:rsidR="008F5970" w:rsidRPr="008900A2">
        <w:rPr>
          <w:rFonts w:eastAsia="Times New Roman"/>
          <w:bCs w:val="0"/>
        </w:rPr>
        <w:t>4</w:t>
      </w:r>
      <w:r w:rsidR="00241DE8" w:rsidRPr="008900A2">
        <w:rPr>
          <w:rFonts w:eastAsia="Times New Roman"/>
          <w:bCs w:val="0"/>
        </w:rPr>
        <w:t>0</w:t>
      </w:r>
      <w:r w:rsidR="00754F4E" w:rsidRPr="008900A2">
        <w:rPr>
          <w:rFonts w:eastAsia="Times New Roman"/>
        </w:rPr>
        <w:t xml:space="preserve">, </w:t>
      </w:r>
      <w:r w:rsidR="00754F4E" w:rsidRPr="008900A2">
        <w:rPr>
          <w:rFonts w:eastAsia="Times New Roman"/>
          <w:i/>
          <w:iCs/>
        </w:rPr>
        <w:t xml:space="preserve">SE = </w:t>
      </w:r>
      <w:r w:rsidR="00754F4E" w:rsidRPr="008900A2">
        <w:rPr>
          <w:rFonts w:eastAsia="Times New Roman"/>
          <w:bCs w:val="0"/>
        </w:rPr>
        <w:t>0.</w:t>
      </w:r>
      <w:r w:rsidR="008F5970" w:rsidRPr="008900A2">
        <w:rPr>
          <w:rFonts w:eastAsia="Times New Roman"/>
          <w:bCs w:val="0"/>
        </w:rPr>
        <w:t>412</w:t>
      </w:r>
      <w:r w:rsidR="00754F4E" w:rsidRPr="008900A2">
        <w:rPr>
          <w:rFonts w:eastAsia="Times New Roman"/>
        </w:rPr>
        <w:t xml:space="preserve">, </w:t>
      </w:r>
      <w:r w:rsidR="00754F4E" w:rsidRPr="008900A2">
        <w:rPr>
          <w:rFonts w:eastAsia="Times New Roman"/>
          <w:i/>
          <w:iCs/>
        </w:rPr>
        <w:t xml:space="preserve">p </w:t>
      </w:r>
      <w:r w:rsidR="00754F4E" w:rsidRPr="008900A2">
        <w:rPr>
          <w:rFonts w:eastAsia="Times New Roman"/>
        </w:rPr>
        <w:t>= .0</w:t>
      </w:r>
      <w:r w:rsidR="00826D4D" w:rsidRPr="008900A2">
        <w:rPr>
          <w:rFonts w:eastAsia="Times New Roman"/>
          <w:bCs w:val="0"/>
        </w:rPr>
        <w:t>41</w:t>
      </w:r>
      <w:r w:rsidR="00754F4E" w:rsidRPr="008900A2">
        <w:rPr>
          <w:rFonts w:eastAsia="Times New Roman"/>
        </w:rPr>
        <w:t>)</w:t>
      </w:r>
      <w:r w:rsidR="002E7FAD">
        <w:rPr>
          <w:rFonts w:eastAsia="Times New Roman"/>
        </w:rPr>
        <w:t xml:space="preserve">, and non-affirmation </w:t>
      </w:r>
      <w:r w:rsidR="002E7FAD" w:rsidRPr="008900A2">
        <w:rPr>
          <w:bCs w:val="0"/>
        </w:rPr>
        <w:t>(</w:t>
      </w:r>
      <w:r w:rsidR="002E7FAD" w:rsidRPr="008900A2">
        <w:rPr>
          <w:i/>
          <w:iCs/>
        </w:rPr>
        <w:t>b</w:t>
      </w:r>
      <w:r w:rsidR="002E7FAD" w:rsidRPr="008900A2" w:rsidDel="00893C07">
        <w:rPr>
          <w:rFonts w:eastAsia="Times New Roman"/>
        </w:rPr>
        <w:t xml:space="preserve"> </w:t>
      </w:r>
      <w:r w:rsidR="002E7FAD" w:rsidRPr="008900A2">
        <w:rPr>
          <w:rFonts w:eastAsia="Times New Roman"/>
        </w:rPr>
        <w:t>=</w:t>
      </w:r>
      <w:r w:rsidR="002E7FAD" w:rsidRPr="008900A2">
        <w:rPr>
          <w:rFonts w:eastAsia="Times New Roman"/>
          <w:bCs w:val="0"/>
        </w:rPr>
        <w:t xml:space="preserve"> </w:t>
      </w:r>
      <w:r w:rsidR="002E7FAD">
        <w:rPr>
          <w:rFonts w:eastAsia="Times New Roman"/>
          <w:bCs w:val="0"/>
        </w:rPr>
        <w:t>-2</w:t>
      </w:r>
      <w:r w:rsidR="002E7FAD" w:rsidRPr="008900A2">
        <w:rPr>
          <w:rFonts w:eastAsia="Times New Roman"/>
          <w:bCs w:val="0"/>
        </w:rPr>
        <w:t>.</w:t>
      </w:r>
      <w:r w:rsidR="002E7FAD">
        <w:rPr>
          <w:rFonts w:eastAsia="Times New Roman"/>
          <w:bCs w:val="0"/>
        </w:rPr>
        <w:t>588</w:t>
      </w:r>
      <w:r w:rsidR="002E7FAD" w:rsidRPr="008900A2">
        <w:rPr>
          <w:rFonts w:eastAsia="Times New Roman"/>
        </w:rPr>
        <w:t xml:space="preserve">, </w:t>
      </w:r>
      <w:r w:rsidR="002E7FAD" w:rsidRPr="008900A2">
        <w:rPr>
          <w:rFonts w:eastAsia="Times New Roman"/>
          <w:i/>
          <w:iCs/>
        </w:rPr>
        <w:t xml:space="preserve">SE = </w:t>
      </w:r>
      <w:r w:rsidR="0029454C">
        <w:rPr>
          <w:rFonts w:eastAsia="Times New Roman"/>
          <w:bCs w:val="0"/>
        </w:rPr>
        <w:t>1,056</w:t>
      </w:r>
      <w:r w:rsidR="002E7FAD" w:rsidRPr="008900A2">
        <w:rPr>
          <w:rFonts w:eastAsia="Times New Roman"/>
          <w:bCs w:val="0"/>
        </w:rPr>
        <w:t>,</w:t>
      </w:r>
      <w:r w:rsidR="002E7FAD" w:rsidRPr="008900A2">
        <w:rPr>
          <w:rFonts w:eastAsia="Times New Roman"/>
        </w:rPr>
        <w:t xml:space="preserve"> </w:t>
      </w:r>
      <w:r w:rsidR="002E7FAD" w:rsidRPr="008900A2">
        <w:rPr>
          <w:rFonts w:eastAsia="Times New Roman"/>
          <w:i/>
          <w:iCs/>
        </w:rPr>
        <w:t xml:space="preserve">p </w:t>
      </w:r>
      <w:r w:rsidR="002E7FAD" w:rsidRPr="008900A2">
        <w:rPr>
          <w:rFonts w:eastAsia="Times New Roman"/>
        </w:rPr>
        <w:t>= .0</w:t>
      </w:r>
      <w:r w:rsidR="002E7FAD" w:rsidRPr="008900A2">
        <w:rPr>
          <w:rFonts w:eastAsia="Times New Roman"/>
          <w:bCs w:val="0"/>
        </w:rPr>
        <w:t>1</w:t>
      </w:r>
      <w:r w:rsidR="0029454C">
        <w:rPr>
          <w:rFonts w:eastAsia="Times New Roman"/>
          <w:bCs w:val="0"/>
        </w:rPr>
        <w:t>4</w:t>
      </w:r>
      <w:r w:rsidR="002E7FAD" w:rsidRPr="008900A2">
        <w:rPr>
          <w:rFonts w:eastAsia="Times New Roman"/>
        </w:rPr>
        <w:t>)</w:t>
      </w:r>
      <w:r w:rsidR="00754F4E" w:rsidRPr="008900A2">
        <w:rPr>
          <w:rFonts w:eastAsia="Times New Roman"/>
        </w:rPr>
        <w:t>. Rural pa</w:t>
      </w:r>
      <w:r w:rsidR="00915B82" w:rsidRPr="008900A2">
        <w:rPr>
          <w:rFonts w:eastAsia="Times New Roman"/>
        </w:rPr>
        <w:t xml:space="preserve">rticipants reported </w:t>
      </w:r>
      <w:r w:rsidR="007D1DAB" w:rsidRPr="008900A2">
        <w:rPr>
          <w:rFonts w:eastAsia="Times New Roman"/>
        </w:rPr>
        <w:t>less</w:t>
      </w:r>
      <w:r w:rsidR="00915B82" w:rsidRPr="008900A2">
        <w:rPr>
          <w:rFonts w:eastAsia="Times New Roman"/>
        </w:rPr>
        <w:t xml:space="preserve"> experiences of non-affirmation than urban participants</w:t>
      </w:r>
      <w:r w:rsidR="009622A1" w:rsidRPr="008900A2">
        <w:rPr>
          <w:rFonts w:eastAsia="Times New Roman"/>
        </w:rPr>
        <w:t xml:space="preserve"> </w:t>
      </w:r>
      <w:r w:rsidR="009622A1" w:rsidRPr="008900A2">
        <w:rPr>
          <w:bCs w:val="0"/>
        </w:rPr>
        <w:t>(</w:t>
      </w:r>
      <w:r w:rsidR="009622A1" w:rsidRPr="008900A2">
        <w:rPr>
          <w:i/>
          <w:iCs/>
        </w:rPr>
        <w:t>b</w:t>
      </w:r>
      <w:r w:rsidR="009622A1" w:rsidRPr="008900A2" w:rsidDel="00893C07">
        <w:rPr>
          <w:rFonts w:eastAsia="Times New Roman"/>
        </w:rPr>
        <w:t xml:space="preserve"> </w:t>
      </w:r>
      <w:r w:rsidR="009622A1" w:rsidRPr="008900A2">
        <w:rPr>
          <w:rFonts w:eastAsia="Times New Roman"/>
        </w:rPr>
        <w:t>=</w:t>
      </w:r>
      <w:r w:rsidR="009622A1" w:rsidRPr="008900A2">
        <w:rPr>
          <w:rFonts w:eastAsia="Times New Roman"/>
          <w:bCs w:val="0"/>
        </w:rPr>
        <w:t xml:space="preserve"> </w:t>
      </w:r>
      <w:r w:rsidR="0025711E" w:rsidRPr="008900A2">
        <w:rPr>
          <w:rFonts w:eastAsia="Times New Roman"/>
          <w:bCs w:val="0"/>
        </w:rPr>
        <w:t>-2.5</w:t>
      </w:r>
      <w:r w:rsidR="00826D4D" w:rsidRPr="008900A2">
        <w:rPr>
          <w:rFonts w:eastAsia="Times New Roman"/>
          <w:bCs w:val="0"/>
        </w:rPr>
        <w:t>63</w:t>
      </w:r>
      <w:r w:rsidR="009622A1" w:rsidRPr="008900A2">
        <w:rPr>
          <w:rFonts w:eastAsia="Times New Roman"/>
        </w:rPr>
        <w:t xml:space="preserve">, </w:t>
      </w:r>
      <w:r w:rsidR="009622A1" w:rsidRPr="008900A2">
        <w:rPr>
          <w:rFonts w:eastAsia="Times New Roman"/>
          <w:i/>
          <w:iCs/>
        </w:rPr>
        <w:t xml:space="preserve">SE = </w:t>
      </w:r>
      <w:r w:rsidR="0025711E" w:rsidRPr="008900A2">
        <w:rPr>
          <w:rFonts w:eastAsia="Times New Roman"/>
          <w:bCs w:val="0"/>
        </w:rPr>
        <w:t>1</w:t>
      </w:r>
      <w:r w:rsidR="009622A1" w:rsidRPr="008900A2">
        <w:rPr>
          <w:rFonts w:eastAsia="Times New Roman"/>
          <w:bCs w:val="0"/>
        </w:rPr>
        <w:t>.</w:t>
      </w:r>
      <w:r w:rsidR="00826D4D" w:rsidRPr="008900A2">
        <w:rPr>
          <w:rFonts w:eastAsia="Times New Roman"/>
          <w:bCs w:val="0"/>
        </w:rPr>
        <w:t>136</w:t>
      </w:r>
      <w:r w:rsidR="009622A1" w:rsidRPr="008900A2">
        <w:rPr>
          <w:rFonts w:eastAsia="Times New Roman"/>
        </w:rPr>
        <w:t xml:space="preserve">, </w:t>
      </w:r>
      <w:r w:rsidR="009622A1" w:rsidRPr="008900A2">
        <w:rPr>
          <w:rFonts w:eastAsia="Times New Roman"/>
          <w:i/>
          <w:iCs/>
        </w:rPr>
        <w:t xml:space="preserve">p </w:t>
      </w:r>
      <w:r w:rsidR="009622A1" w:rsidRPr="008900A2">
        <w:rPr>
          <w:rFonts w:eastAsia="Times New Roman"/>
        </w:rPr>
        <w:t>= .0</w:t>
      </w:r>
      <w:r w:rsidR="00826D4D" w:rsidRPr="008900A2">
        <w:rPr>
          <w:rFonts w:eastAsia="Times New Roman"/>
          <w:bCs w:val="0"/>
        </w:rPr>
        <w:t>2</w:t>
      </w:r>
      <w:r w:rsidR="0025711E" w:rsidRPr="008900A2">
        <w:rPr>
          <w:rFonts w:eastAsia="Times New Roman"/>
          <w:bCs w:val="0"/>
        </w:rPr>
        <w:t>4</w:t>
      </w:r>
      <w:r w:rsidR="009622A1" w:rsidRPr="008900A2">
        <w:rPr>
          <w:rFonts w:eastAsia="Times New Roman"/>
        </w:rPr>
        <w:t>)</w:t>
      </w:r>
      <w:r w:rsidR="00915B82" w:rsidRPr="008900A2">
        <w:rPr>
          <w:rFonts w:eastAsia="Times New Roman"/>
        </w:rPr>
        <w:t xml:space="preserve">.  </w:t>
      </w:r>
    </w:p>
    <w:p w14:paraId="563C5AEF" w14:textId="05D32918" w:rsidR="00FD26E8" w:rsidRPr="008900A2" w:rsidRDefault="0047565C" w:rsidP="00754F4E">
      <w:pPr>
        <w:spacing w:after="0" w:line="480" w:lineRule="auto"/>
        <w:ind w:firstLine="720"/>
        <w:rPr>
          <w:rFonts w:eastAsia="Times New Roman"/>
          <w:bCs w:val="0"/>
        </w:rPr>
      </w:pPr>
      <w:r w:rsidRPr="008900A2">
        <w:rPr>
          <w:rFonts w:eastAsia="Times New Roman"/>
          <w:b/>
          <w:i/>
          <w:iCs/>
        </w:rPr>
        <w:t xml:space="preserve">Aim 2. </w:t>
      </w:r>
      <w:r w:rsidR="00FD26E8" w:rsidRPr="008900A2">
        <w:rPr>
          <w:rFonts w:eastAsia="Times New Roman"/>
          <w:b/>
          <w:i/>
          <w:iCs/>
        </w:rPr>
        <w:t>Proximal Marginalization Stressors.</w:t>
      </w:r>
      <w:r w:rsidR="00D77F8D" w:rsidRPr="008900A2">
        <w:rPr>
          <w:rFonts w:eastAsia="Times New Roman"/>
          <w:b/>
          <w:i/>
          <w:iCs/>
        </w:rPr>
        <w:t xml:space="preserve"> </w:t>
      </w:r>
      <w:r w:rsidR="00D77F8D" w:rsidRPr="008900A2">
        <w:t>U</w:t>
      </w:r>
      <w:r w:rsidR="00D77F8D" w:rsidRPr="008900A2">
        <w:rPr>
          <w:rFonts w:eastAsia="Times New Roman"/>
          <w:bCs w:val="0"/>
        </w:rPr>
        <w:t>rban cluster (</w:t>
      </w:r>
      <w:r w:rsidR="00D77F8D" w:rsidRPr="008900A2">
        <w:rPr>
          <w:i/>
          <w:iCs/>
        </w:rPr>
        <w:t>b</w:t>
      </w:r>
      <w:r w:rsidR="00D77F8D" w:rsidRPr="008900A2" w:rsidDel="00893C07">
        <w:rPr>
          <w:rFonts w:eastAsia="Times New Roman"/>
        </w:rPr>
        <w:t xml:space="preserve"> </w:t>
      </w:r>
      <w:r w:rsidR="00D77F8D" w:rsidRPr="008900A2">
        <w:rPr>
          <w:rFonts w:eastAsia="Times New Roman"/>
        </w:rPr>
        <w:t>=</w:t>
      </w:r>
      <w:r w:rsidR="00D77F8D" w:rsidRPr="008900A2">
        <w:rPr>
          <w:rFonts w:eastAsia="Times New Roman"/>
          <w:bCs w:val="0"/>
        </w:rPr>
        <w:t xml:space="preserve"> 2.823</w:t>
      </w:r>
      <w:r w:rsidR="00D77F8D" w:rsidRPr="008900A2">
        <w:rPr>
          <w:rFonts w:eastAsia="Times New Roman"/>
        </w:rPr>
        <w:t xml:space="preserve">, </w:t>
      </w:r>
      <w:r w:rsidR="00D77F8D" w:rsidRPr="008900A2">
        <w:rPr>
          <w:rFonts w:eastAsia="Times New Roman"/>
          <w:i/>
          <w:iCs/>
        </w:rPr>
        <w:t xml:space="preserve">SE = </w:t>
      </w:r>
      <w:r w:rsidR="00D77F8D" w:rsidRPr="008900A2">
        <w:rPr>
          <w:rFonts w:eastAsia="Times New Roman"/>
        </w:rPr>
        <w:t>0.</w:t>
      </w:r>
      <w:r w:rsidR="00D77F8D" w:rsidRPr="008900A2">
        <w:rPr>
          <w:rFonts w:eastAsia="Times New Roman"/>
          <w:bCs w:val="0"/>
        </w:rPr>
        <w:t>970</w:t>
      </w:r>
      <w:r w:rsidR="00D77F8D" w:rsidRPr="008900A2">
        <w:rPr>
          <w:rFonts w:eastAsia="Times New Roman"/>
        </w:rPr>
        <w:t xml:space="preserve">, </w:t>
      </w:r>
      <w:r w:rsidR="00D77F8D" w:rsidRPr="008900A2">
        <w:rPr>
          <w:rFonts w:eastAsia="Times New Roman"/>
          <w:i/>
          <w:iCs/>
        </w:rPr>
        <w:t xml:space="preserve">p </w:t>
      </w:r>
      <w:r w:rsidR="00D77F8D" w:rsidRPr="008900A2">
        <w:rPr>
          <w:rFonts w:eastAsia="Times New Roman"/>
          <w:bCs w:val="0"/>
        </w:rPr>
        <w:t xml:space="preserve">= </w:t>
      </w:r>
      <w:r w:rsidR="00D77F8D" w:rsidRPr="008900A2">
        <w:rPr>
          <w:rFonts w:eastAsia="Times New Roman"/>
        </w:rPr>
        <w:t>.0</w:t>
      </w:r>
      <w:r w:rsidR="00D77F8D" w:rsidRPr="008900A2">
        <w:rPr>
          <w:rFonts w:eastAsia="Times New Roman"/>
          <w:bCs w:val="0"/>
        </w:rPr>
        <w:t>04) but not rural (</w:t>
      </w:r>
      <w:r w:rsidR="00D77F8D" w:rsidRPr="008900A2">
        <w:rPr>
          <w:rFonts w:eastAsia="Times New Roman"/>
          <w:bCs w:val="0"/>
          <w:i/>
          <w:iCs/>
        </w:rPr>
        <w:t>p</w:t>
      </w:r>
      <w:r w:rsidR="00D77F8D" w:rsidRPr="008900A2">
        <w:rPr>
          <w:rFonts w:eastAsia="Times New Roman"/>
          <w:bCs w:val="0"/>
        </w:rPr>
        <w:t xml:space="preserve"> = .653) participants reported significantly </w:t>
      </w:r>
      <w:r w:rsidR="00293584" w:rsidRPr="008900A2">
        <w:rPr>
          <w:rFonts w:eastAsia="Times New Roman"/>
          <w:bCs w:val="0"/>
        </w:rPr>
        <w:t>higher</w:t>
      </w:r>
      <w:r w:rsidR="00D77F8D" w:rsidRPr="008900A2">
        <w:rPr>
          <w:rFonts w:eastAsia="Times New Roman"/>
          <w:bCs w:val="0"/>
        </w:rPr>
        <w:t xml:space="preserve"> internalized transphobia than urban participants. </w:t>
      </w:r>
      <w:r w:rsidR="00523960" w:rsidRPr="008900A2">
        <w:rPr>
          <w:rFonts w:eastAsia="Times New Roman"/>
          <w:bCs w:val="0"/>
        </w:rPr>
        <w:t xml:space="preserve">Additionally, urban cluster </w:t>
      </w:r>
      <w:r w:rsidR="00523960" w:rsidRPr="008900A2">
        <w:rPr>
          <w:bCs w:val="0"/>
        </w:rPr>
        <w:t>(</w:t>
      </w:r>
      <w:r w:rsidR="00523960" w:rsidRPr="008900A2">
        <w:rPr>
          <w:i/>
          <w:iCs/>
        </w:rPr>
        <w:t>b</w:t>
      </w:r>
      <w:r w:rsidR="00523960" w:rsidRPr="008900A2" w:rsidDel="00893C07">
        <w:rPr>
          <w:rFonts w:eastAsia="Times New Roman"/>
        </w:rPr>
        <w:t xml:space="preserve"> </w:t>
      </w:r>
      <w:r w:rsidR="00523960" w:rsidRPr="008900A2">
        <w:rPr>
          <w:rFonts w:eastAsia="Times New Roman"/>
        </w:rPr>
        <w:t>=</w:t>
      </w:r>
      <w:r w:rsidR="00523960" w:rsidRPr="008900A2">
        <w:rPr>
          <w:rFonts w:eastAsia="Times New Roman"/>
          <w:bCs w:val="0"/>
        </w:rPr>
        <w:t xml:space="preserve"> 1.430</w:t>
      </w:r>
      <w:r w:rsidR="00523960" w:rsidRPr="008900A2">
        <w:rPr>
          <w:rFonts w:eastAsia="Times New Roman"/>
        </w:rPr>
        <w:t xml:space="preserve">, </w:t>
      </w:r>
      <w:r w:rsidR="00523960" w:rsidRPr="008900A2">
        <w:rPr>
          <w:rFonts w:eastAsia="Times New Roman"/>
          <w:i/>
          <w:iCs/>
        </w:rPr>
        <w:t xml:space="preserve">SE = </w:t>
      </w:r>
      <w:r w:rsidR="00523960" w:rsidRPr="008900A2">
        <w:rPr>
          <w:rFonts w:eastAsia="Times New Roman"/>
        </w:rPr>
        <w:t>0.</w:t>
      </w:r>
      <w:r w:rsidR="00523960" w:rsidRPr="008900A2">
        <w:rPr>
          <w:rFonts w:eastAsia="Times New Roman"/>
          <w:bCs w:val="0"/>
        </w:rPr>
        <w:t>483</w:t>
      </w:r>
      <w:r w:rsidR="00523960" w:rsidRPr="008900A2">
        <w:rPr>
          <w:rFonts w:eastAsia="Times New Roman"/>
        </w:rPr>
        <w:t xml:space="preserve">, </w:t>
      </w:r>
      <w:r w:rsidR="00523960" w:rsidRPr="008900A2">
        <w:rPr>
          <w:rFonts w:eastAsia="Times New Roman"/>
          <w:i/>
          <w:iCs/>
        </w:rPr>
        <w:t xml:space="preserve">p </w:t>
      </w:r>
      <w:r w:rsidR="00523960" w:rsidRPr="008900A2">
        <w:rPr>
          <w:rFonts w:eastAsia="Times New Roman"/>
          <w:bCs w:val="0"/>
        </w:rPr>
        <w:t xml:space="preserve">= </w:t>
      </w:r>
      <w:r w:rsidR="00523960" w:rsidRPr="008900A2">
        <w:rPr>
          <w:rFonts w:eastAsia="Times New Roman"/>
        </w:rPr>
        <w:t>.0</w:t>
      </w:r>
      <w:r w:rsidR="00523960" w:rsidRPr="008900A2">
        <w:rPr>
          <w:rFonts w:eastAsia="Times New Roman"/>
          <w:bCs w:val="0"/>
        </w:rPr>
        <w:t>03) but not rural (</w:t>
      </w:r>
      <w:r w:rsidR="00523960" w:rsidRPr="008900A2">
        <w:rPr>
          <w:rFonts w:eastAsia="Times New Roman"/>
          <w:bCs w:val="0"/>
          <w:i/>
          <w:iCs/>
        </w:rPr>
        <w:t xml:space="preserve">p </w:t>
      </w:r>
      <w:r w:rsidR="00523960" w:rsidRPr="008900A2">
        <w:rPr>
          <w:rFonts w:eastAsia="Times New Roman"/>
          <w:bCs w:val="0"/>
        </w:rPr>
        <w:t xml:space="preserve">= .298) </w:t>
      </w:r>
      <w:r w:rsidR="00C83CE0" w:rsidRPr="008900A2">
        <w:rPr>
          <w:rFonts w:eastAsia="Times New Roman"/>
          <w:bCs w:val="0"/>
        </w:rPr>
        <w:t xml:space="preserve">participants </w:t>
      </w:r>
      <w:r w:rsidR="00523960" w:rsidRPr="008900A2">
        <w:rPr>
          <w:rFonts w:eastAsia="Times New Roman"/>
          <w:bCs w:val="0"/>
        </w:rPr>
        <w:t xml:space="preserve">reported significantly more experiences of gender-related rumination than urban participants. There were significant differences between urban cluster and urban participants’ experiences of negative expectations </w:t>
      </w:r>
      <w:r w:rsidR="00523960" w:rsidRPr="008900A2">
        <w:rPr>
          <w:bCs w:val="0"/>
        </w:rPr>
        <w:t>(</w:t>
      </w:r>
      <w:r w:rsidR="00523960" w:rsidRPr="008900A2">
        <w:rPr>
          <w:i/>
          <w:iCs/>
        </w:rPr>
        <w:t>b</w:t>
      </w:r>
      <w:r w:rsidR="00523960" w:rsidRPr="008900A2" w:rsidDel="00893C07">
        <w:rPr>
          <w:rFonts w:eastAsia="Times New Roman"/>
        </w:rPr>
        <w:t xml:space="preserve"> </w:t>
      </w:r>
      <w:r w:rsidR="00523960" w:rsidRPr="008900A2">
        <w:rPr>
          <w:rFonts w:eastAsia="Times New Roman"/>
        </w:rPr>
        <w:t>=</w:t>
      </w:r>
      <w:r w:rsidR="00523960" w:rsidRPr="008900A2">
        <w:rPr>
          <w:rFonts w:eastAsia="Times New Roman"/>
          <w:bCs w:val="0"/>
        </w:rPr>
        <w:t xml:space="preserve"> 3.624</w:t>
      </w:r>
      <w:r w:rsidR="00523960" w:rsidRPr="008900A2">
        <w:rPr>
          <w:rFonts w:eastAsia="Times New Roman"/>
        </w:rPr>
        <w:t xml:space="preserve">, </w:t>
      </w:r>
      <w:r w:rsidR="00523960" w:rsidRPr="008900A2">
        <w:rPr>
          <w:rFonts w:eastAsia="Times New Roman"/>
          <w:i/>
          <w:iCs/>
        </w:rPr>
        <w:t xml:space="preserve">SE = </w:t>
      </w:r>
      <w:r w:rsidR="00523960" w:rsidRPr="008900A2">
        <w:rPr>
          <w:rFonts w:eastAsia="Times New Roman"/>
          <w:bCs w:val="0"/>
        </w:rPr>
        <w:t>0.987</w:t>
      </w:r>
      <w:r w:rsidR="00523960" w:rsidRPr="008900A2">
        <w:rPr>
          <w:rFonts w:eastAsia="Times New Roman"/>
        </w:rPr>
        <w:t xml:space="preserve">, </w:t>
      </w:r>
      <w:r w:rsidR="00523960" w:rsidRPr="008900A2">
        <w:rPr>
          <w:rFonts w:eastAsia="Times New Roman"/>
          <w:i/>
          <w:iCs/>
        </w:rPr>
        <w:t xml:space="preserve">p </w:t>
      </w:r>
      <w:r w:rsidR="00523960" w:rsidRPr="008900A2">
        <w:rPr>
          <w:rFonts w:eastAsia="Times New Roman"/>
        </w:rPr>
        <w:t>&lt; .0</w:t>
      </w:r>
      <w:r w:rsidR="00523960" w:rsidRPr="008900A2">
        <w:rPr>
          <w:rFonts w:eastAsia="Times New Roman"/>
          <w:bCs w:val="0"/>
        </w:rPr>
        <w:t>01</w:t>
      </w:r>
      <w:r w:rsidR="00523960" w:rsidRPr="008900A2">
        <w:rPr>
          <w:rFonts w:eastAsia="Times New Roman"/>
        </w:rPr>
        <w:t>),</w:t>
      </w:r>
      <w:r w:rsidR="003C43C5" w:rsidRPr="008900A2">
        <w:rPr>
          <w:rFonts w:eastAsia="Times New Roman"/>
        </w:rPr>
        <w:t xml:space="preserve"> </w:t>
      </w:r>
      <w:r w:rsidR="00A5430E">
        <w:rPr>
          <w:rFonts w:eastAsia="Times New Roman"/>
        </w:rPr>
        <w:t xml:space="preserve">with </w:t>
      </w:r>
      <w:r w:rsidR="008C3B8E" w:rsidRPr="008900A2">
        <w:rPr>
          <w:rFonts w:eastAsia="Times New Roman"/>
        </w:rPr>
        <w:t xml:space="preserve">urban cluster participants </w:t>
      </w:r>
      <w:r w:rsidR="003C43C5" w:rsidRPr="008900A2">
        <w:rPr>
          <w:rFonts w:eastAsia="Times New Roman"/>
        </w:rPr>
        <w:t xml:space="preserve">reported more experience of negative expectations. </w:t>
      </w:r>
    </w:p>
    <w:p w14:paraId="0006603A" w14:textId="511EAABA" w:rsidR="00FD26E8" w:rsidRPr="008900A2" w:rsidRDefault="0047565C" w:rsidP="00915B82">
      <w:pPr>
        <w:spacing w:after="0" w:line="480" w:lineRule="auto"/>
        <w:ind w:firstLine="720"/>
        <w:rPr>
          <w:rFonts w:eastAsia="Times New Roman"/>
          <w:bCs w:val="0"/>
        </w:rPr>
      </w:pPr>
      <w:r w:rsidRPr="008900A2">
        <w:rPr>
          <w:rFonts w:eastAsia="Times New Roman"/>
          <w:b/>
          <w:i/>
          <w:iCs/>
        </w:rPr>
        <w:t xml:space="preserve">Aim 2 </w:t>
      </w:r>
      <w:r w:rsidR="00FD26E8" w:rsidRPr="008900A2">
        <w:rPr>
          <w:rFonts w:eastAsia="Times New Roman"/>
          <w:b/>
          <w:i/>
          <w:iCs/>
        </w:rPr>
        <w:t xml:space="preserve">Protective Factors. </w:t>
      </w:r>
      <w:r w:rsidR="00754F4E" w:rsidRPr="008900A2">
        <w:rPr>
          <w:rFonts w:eastAsia="Times New Roman"/>
          <w:bCs w:val="0"/>
        </w:rPr>
        <w:t>There were no differences between urban cluster (</w:t>
      </w:r>
      <w:r w:rsidR="00754F4E" w:rsidRPr="008900A2">
        <w:rPr>
          <w:rFonts w:eastAsia="Times New Roman"/>
          <w:bCs w:val="0"/>
          <w:i/>
          <w:iCs/>
        </w:rPr>
        <w:t>p =</w:t>
      </w:r>
      <w:r w:rsidR="004E0F35" w:rsidRPr="008900A2">
        <w:rPr>
          <w:rFonts w:eastAsia="Times New Roman"/>
          <w:bCs w:val="0"/>
          <w:i/>
          <w:iCs/>
        </w:rPr>
        <w:t xml:space="preserve"> </w:t>
      </w:r>
      <w:r w:rsidR="004E0F35" w:rsidRPr="008900A2">
        <w:rPr>
          <w:rFonts w:eastAsia="Times New Roman"/>
          <w:bCs w:val="0"/>
        </w:rPr>
        <w:t>.</w:t>
      </w:r>
      <w:r w:rsidR="00F014AC" w:rsidRPr="008900A2">
        <w:rPr>
          <w:rFonts w:eastAsia="Times New Roman"/>
          <w:bCs w:val="0"/>
        </w:rPr>
        <w:t>46</w:t>
      </w:r>
      <w:r w:rsidR="004E0F35" w:rsidRPr="008900A2">
        <w:rPr>
          <w:rFonts w:eastAsia="Times New Roman"/>
          <w:bCs w:val="0"/>
        </w:rPr>
        <w:t>9</w:t>
      </w:r>
      <w:r w:rsidR="00754F4E" w:rsidRPr="008900A2">
        <w:rPr>
          <w:rFonts w:eastAsia="Times New Roman"/>
          <w:bCs w:val="0"/>
        </w:rPr>
        <w:t xml:space="preserve">) </w:t>
      </w:r>
      <w:r w:rsidR="00E455D3">
        <w:rPr>
          <w:rFonts w:eastAsia="Times New Roman"/>
          <w:bCs w:val="0"/>
        </w:rPr>
        <w:t xml:space="preserve">and urban </w:t>
      </w:r>
      <w:r w:rsidR="0029454C">
        <w:rPr>
          <w:rFonts w:eastAsia="Times New Roman"/>
          <w:bCs w:val="0"/>
        </w:rPr>
        <w:t>participants,</w:t>
      </w:r>
      <w:r w:rsidR="00E455D3">
        <w:rPr>
          <w:rFonts w:eastAsia="Times New Roman"/>
          <w:bCs w:val="0"/>
        </w:rPr>
        <w:t xml:space="preserve"> </w:t>
      </w:r>
      <w:r w:rsidR="00754F4E" w:rsidRPr="008900A2">
        <w:rPr>
          <w:rFonts w:eastAsia="Times New Roman"/>
          <w:bCs w:val="0"/>
        </w:rPr>
        <w:t>and rural (</w:t>
      </w:r>
      <w:r w:rsidR="00754F4E" w:rsidRPr="008900A2">
        <w:rPr>
          <w:rFonts w:eastAsia="Times New Roman"/>
          <w:bCs w:val="0"/>
          <w:i/>
          <w:iCs/>
        </w:rPr>
        <w:t xml:space="preserve">p </w:t>
      </w:r>
      <w:r w:rsidR="00754F4E" w:rsidRPr="008900A2">
        <w:rPr>
          <w:rFonts w:eastAsia="Times New Roman"/>
          <w:bCs w:val="0"/>
        </w:rPr>
        <w:t>= .</w:t>
      </w:r>
      <w:r w:rsidR="00F014AC" w:rsidRPr="008900A2">
        <w:rPr>
          <w:rFonts w:eastAsia="Times New Roman"/>
          <w:bCs w:val="0"/>
        </w:rPr>
        <w:t>46</w:t>
      </w:r>
      <w:r w:rsidR="003716AE" w:rsidRPr="008900A2">
        <w:rPr>
          <w:rFonts w:eastAsia="Times New Roman"/>
          <w:bCs w:val="0"/>
        </w:rPr>
        <w:t>5</w:t>
      </w:r>
      <w:r w:rsidR="00754F4E" w:rsidRPr="008900A2">
        <w:rPr>
          <w:rFonts w:eastAsia="Times New Roman"/>
          <w:bCs w:val="0"/>
        </w:rPr>
        <w:t xml:space="preserve">) </w:t>
      </w:r>
      <w:r w:rsidR="00E455D3">
        <w:rPr>
          <w:rFonts w:eastAsia="Times New Roman"/>
          <w:bCs w:val="0"/>
        </w:rPr>
        <w:t xml:space="preserve">and urban </w:t>
      </w:r>
      <w:r w:rsidR="00754F4E" w:rsidRPr="008900A2">
        <w:rPr>
          <w:rFonts w:eastAsia="Times New Roman"/>
          <w:bCs w:val="0"/>
        </w:rPr>
        <w:t xml:space="preserve">participants experience of gender-related pride. </w:t>
      </w:r>
    </w:p>
    <w:p w14:paraId="559F69C0" w14:textId="54DF97B5" w:rsidR="007741C7" w:rsidRPr="008900A2" w:rsidRDefault="00DB7EC5" w:rsidP="00323609">
      <w:pPr>
        <w:spacing w:after="0" w:line="480" w:lineRule="auto"/>
        <w:rPr>
          <w:b/>
        </w:rPr>
      </w:pPr>
      <w:r w:rsidRPr="008900A2">
        <w:rPr>
          <w:b/>
        </w:rPr>
        <w:t>Model 2</w:t>
      </w:r>
      <w:r w:rsidR="00323609" w:rsidRPr="008900A2">
        <w:rPr>
          <w:b/>
        </w:rPr>
        <w:t xml:space="preserve"> and 3</w:t>
      </w:r>
      <w:r w:rsidRPr="008900A2">
        <w:rPr>
          <w:b/>
        </w:rPr>
        <w:t>.</w:t>
      </w:r>
      <w:r w:rsidR="00323609" w:rsidRPr="008900A2">
        <w:rPr>
          <w:b/>
        </w:rPr>
        <w:t xml:space="preserve"> Relationships between area and negative mental health outcomes via proximal and distal marginalization stressors with protective factors moderating these relationships. </w:t>
      </w:r>
    </w:p>
    <w:p w14:paraId="4AC82C11" w14:textId="486BD371" w:rsidR="00993B0C" w:rsidRPr="008900A2" w:rsidRDefault="006D29C9" w:rsidP="009505E4">
      <w:pPr>
        <w:spacing w:after="0" w:line="480" w:lineRule="auto"/>
        <w:ind w:firstLine="720"/>
        <w:rPr>
          <w:color w:val="222222"/>
          <w:shd w:val="clear" w:color="auto" w:fill="FFFFFF"/>
        </w:rPr>
      </w:pPr>
      <w:r w:rsidRPr="008900A2">
        <w:rPr>
          <w:b/>
        </w:rPr>
        <w:t xml:space="preserve">Aim </w:t>
      </w:r>
      <w:r w:rsidR="00353805" w:rsidRPr="008900A2">
        <w:rPr>
          <w:b/>
        </w:rPr>
        <w:t>3</w:t>
      </w:r>
      <w:r w:rsidR="00C865A6">
        <w:rPr>
          <w:b/>
        </w:rPr>
        <w:t>,</w:t>
      </w:r>
      <w:r w:rsidR="00323609" w:rsidRPr="008900A2">
        <w:rPr>
          <w:b/>
        </w:rPr>
        <w:t xml:space="preserve"> </w:t>
      </w:r>
      <w:r w:rsidR="007741C7" w:rsidRPr="008900A2">
        <w:rPr>
          <w:b/>
        </w:rPr>
        <w:t>Model 2</w:t>
      </w:r>
      <w:r w:rsidRPr="008900A2">
        <w:rPr>
          <w:b/>
        </w:rPr>
        <w:t>:</w:t>
      </w:r>
      <w:r w:rsidR="00DB7EC5" w:rsidRPr="008900A2">
        <w:rPr>
          <w:b/>
        </w:rPr>
        <w:t xml:space="preserve"> </w:t>
      </w:r>
      <w:r w:rsidR="00993B0C" w:rsidRPr="008900A2">
        <w:t>The te</w:t>
      </w:r>
      <w:r w:rsidR="003716AE" w:rsidRPr="008900A2">
        <w:t>s</w:t>
      </w:r>
      <w:r w:rsidR="00993B0C" w:rsidRPr="008900A2">
        <w:t xml:space="preserve">ted model is depicted in Figure </w:t>
      </w:r>
      <w:r w:rsidR="00706EC5">
        <w:t>1</w:t>
      </w:r>
      <w:r w:rsidR="00993B0C" w:rsidRPr="008900A2">
        <w:t xml:space="preserve">. </w:t>
      </w:r>
      <w:r w:rsidR="0050281C" w:rsidRPr="008900A2">
        <w:rPr>
          <w:rFonts w:eastAsia="Times New Roman"/>
        </w:rPr>
        <w:t>The model evidenced good model fit across indices, χ</w:t>
      </w:r>
      <w:r w:rsidR="0050281C" w:rsidRPr="008900A2">
        <w:rPr>
          <w:rFonts w:eastAsia="Times New Roman"/>
          <w:vertAlign w:val="superscript"/>
        </w:rPr>
        <w:t>2</w:t>
      </w:r>
      <w:r w:rsidR="0050281C" w:rsidRPr="008900A2">
        <w:rPr>
          <w:rFonts w:eastAsia="Times New Roman"/>
        </w:rPr>
        <w:t xml:space="preserve"> (7) = 24.28, </w:t>
      </w:r>
      <w:r w:rsidR="0050281C" w:rsidRPr="008900A2">
        <w:rPr>
          <w:rFonts w:eastAsia="Times New Roman"/>
          <w:i/>
          <w:iCs/>
        </w:rPr>
        <w:t xml:space="preserve">p </w:t>
      </w:r>
      <w:r w:rsidR="0050281C" w:rsidRPr="008900A2">
        <w:rPr>
          <w:rFonts w:eastAsia="Times New Roman"/>
        </w:rPr>
        <w:t xml:space="preserve">= .001, CFI = .986, SRMR = .026, RMSEA = .105 (90% CI = .061 - .152). </w:t>
      </w:r>
      <w:r w:rsidR="002E6F34" w:rsidRPr="008900A2">
        <w:rPr>
          <w:rFonts w:eastAsia="Times New Roman"/>
        </w:rPr>
        <w:t xml:space="preserve">The sample size adjusted BIC for this model was </w:t>
      </w:r>
      <w:r w:rsidR="00CB09DE" w:rsidRPr="008900A2">
        <w:t>1</w:t>
      </w:r>
      <w:r w:rsidR="00A15FFE" w:rsidRPr="008900A2">
        <w:t>2</w:t>
      </w:r>
      <w:r w:rsidR="00AE6CCE" w:rsidRPr="008900A2">
        <w:t>,</w:t>
      </w:r>
      <w:r w:rsidR="00A15FFE" w:rsidRPr="008900A2">
        <w:t>771</w:t>
      </w:r>
      <w:r w:rsidR="00CB09DE" w:rsidRPr="008900A2">
        <w:t>.</w:t>
      </w:r>
      <w:r w:rsidR="00A15FFE" w:rsidRPr="008900A2">
        <w:t xml:space="preserve">601, </w:t>
      </w:r>
      <w:r w:rsidR="00547F39" w:rsidRPr="008900A2">
        <w:t xml:space="preserve">which was </w:t>
      </w:r>
      <w:r w:rsidR="00E133FD" w:rsidRPr="008900A2">
        <w:t>8.548 higher than for Model 1. Because most indicators demonstrated good model fit and the difference in sample size adjusted BIC was less than 10, this model was</w:t>
      </w:r>
      <w:r w:rsidR="000224EA" w:rsidRPr="008900A2">
        <w:t xml:space="preserve"> examined for tests of indirect effects. </w:t>
      </w:r>
    </w:p>
    <w:p w14:paraId="0F398AA2" w14:textId="46ED6D06" w:rsidR="003C08DA" w:rsidRPr="008900A2" w:rsidRDefault="004C67EC" w:rsidP="00993B0C">
      <w:pPr>
        <w:spacing w:after="0" w:line="480" w:lineRule="auto"/>
        <w:ind w:firstLine="720"/>
        <w:rPr>
          <w:color w:val="000000" w:themeColor="text1"/>
        </w:rPr>
      </w:pPr>
      <w:r w:rsidRPr="008900A2">
        <w:rPr>
          <w:b/>
          <w:bCs w:val="0"/>
          <w:i/>
          <w:iCs/>
          <w:color w:val="000000" w:themeColor="text1"/>
        </w:rPr>
        <w:t>Distal</w:t>
      </w:r>
      <w:r w:rsidR="00E253CC" w:rsidRPr="008900A2">
        <w:rPr>
          <w:b/>
          <w:bCs w:val="0"/>
          <w:i/>
          <w:iCs/>
          <w:color w:val="000000" w:themeColor="text1"/>
        </w:rPr>
        <w:t xml:space="preserve"> </w:t>
      </w:r>
      <w:r w:rsidR="00993B0C" w:rsidRPr="008900A2">
        <w:rPr>
          <w:b/>
          <w:bCs w:val="0"/>
          <w:i/>
          <w:iCs/>
          <w:color w:val="000000" w:themeColor="text1"/>
        </w:rPr>
        <w:t xml:space="preserve">marginalization stressors predicting </w:t>
      </w:r>
      <w:r w:rsidR="00E253CC" w:rsidRPr="008900A2">
        <w:rPr>
          <w:b/>
          <w:bCs w:val="0"/>
          <w:i/>
          <w:iCs/>
          <w:color w:val="000000" w:themeColor="text1"/>
        </w:rPr>
        <w:t>proximal</w:t>
      </w:r>
      <w:r w:rsidR="00993B0C" w:rsidRPr="008900A2">
        <w:rPr>
          <w:b/>
          <w:bCs w:val="0"/>
          <w:i/>
          <w:iCs/>
          <w:color w:val="000000" w:themeColor="text1"/>
        </w:rPr>
        <w:t xml:space="preserve"> marginalization stressors.</w:t>
      </w:r>
      <w:r w:rsidR="00993B0C" w:rsidRPr="008900A2">
        <w:rPr>
          <w:color w:val="000000" w:themeColor="text1"/>
        </w:rPr>
        <w:t xml:space="preserve"> </w:t>
      </w:r>
      <w:r w:rsidR="00DF71EB" w:rsidRPr="008900A2">
        <w:rPr>
          <w:rFonts w:eastAsia="Times New Roman"/>
          <w:bCs w:val="0"/>
          <w:color w:val="000000" w:themeColor="text1"/>
        </w:rPr>
        <w:t xml:space="preserve">In examining </w:t>
      </w:r>
      <w:r w:rsidR="00795CE6" w:rsidRPr="008900A2">
        <w:rPr>
          <w:rFonts w:eastAsia="Times New Roman"/>
          <w:bCs w:val="0"/>
          <w:color w:val="000000" w:themeColor="text1"/>
        </w:rPr>
        <w:t xml:space="preserve">distal </w:t>
      </w:r>
      <w:r w:rsidR="00DF71EB" w:rsidRPr="008900A2">
        <w:rPr>
          <w:rFonts w:eastAsia="Times New Roman"/>
          <w:bCs w:val="0"/>
          <w:color w:val="000000" w:themeColor="text1"/>
        </w:rPr>
        <w:t>marginalization stress variables as predictor</w:t>
      </w:r>
      <w:r w:rsidR="00795CE6" w:rsidRPr="008900A2">
        <w:rPr>
          <w:rFonts w:eastAsia="Times New Roman"/>
          <w:bCs w:val="0"/>
          <w:color w:val="000000" w:themeColor="text1"/>
        </w:rPr>
        <w:t>s</w:t>
      </w:r>
      <w:r w:rsidR="00DF71EB" w:rsidRPr="008900A2">
        <w:rPr>
          <w:rFonts w:eastAsia="Times New Roman"/>
          <w:bCs w:val="0"/>
          <w:color w:val="000000" w:themeColor="text1"/>
        </w:rPr>
        <w:t xml:space="preserve"> of </w:t>
      </w:r>
      <w:r w:rsidR="00795CE6" w:rsidRPr="008900A2">
        <w:rPr>
          <w:rFonts w:eastAsia="Times New Roman"/>
          <w:bCs w:val="0"/>
          <w:color w:val="000000" w:themeColor="text1"/>
        </w:rPr>
        <w:t xml:space="preserve">proximal </w:t>
      </w:r>
      <w:r w:rsidR="00DF71EB" w:rsidRPr="008900A2">
        <w:rPr>
          <w:rFonts w:eastAsia="Times New Roman"/>
          <w:bCs w:val="0"/>
          <w:color w:val="000000" w:themeColor="text1"/>
        </w:rPr>
        <w:t xml:space="preserve">marginalization stress variables, non-affirmation significantly predicted </w:t>
      </w:r>
      <w:r w:rsidR="00980EAE" w:rsidRPr="008900A2">
        <w:rPr>
          <w:rFonts w:eastAsia="Times New Roman"/>
          <w:bCs w:val="0"/>
          <w:color w:val="000000" w:themeColor="text1"/>
        </w:rPr>
        <w:t>internalized transphobia</w:t>
      </w:r>
      <w:r w:rsidR="00353EC9" w:rsidRPr="008900A2">
        <w:rPr>
          <w:rFonts w:eastAsia="Times New Roman"/>
          <w:bCs w:val="0"/>
          <w:color w:val="000000" w:themeColor="text1"/>
        </w:rPr>
        <w:t xml:space="preserve"> </w:t>
      </w:r>
      <w:r w:rsidR="00111289" w:rsidRPr="008900A2">
        <w:rPr>
          <w:color w:val="000000" w:themeColor="text1"/>
        </w:rPr>
        <w:t>(</w:t>
      </w:r>
      <w:r w:rsidR="00111289" w:rsidRPr="008900A2">
        <w:rPr>
          <w:i/>
          <w:iCs/>
          <w:color w:val="000000" w:themeColor="text1"/>
        </w:rPr>
        <w:t>b</w:t>
      </w:r>
      <w:r w:rsidR="00111289" w:rsidRPr="008900A2" w:rsidDel="00893C07">
        <w:rPr>
          <w:rFonts w:eastAsia="Times New Roman"/>
          <w:color w:val="000000" w:themeColor="text1"/>
        </w:rPr>
        <w:t xml:space="preserve"> </w:t>
      </w:r>
      <w:r w:rsidR="00111289" w:rsidRPr="008900A2">
        <w:rPr>
          <w:rFonts w:eastAsia="Times New Roman"/>
          <w:color w:val="000000" w:themeColor="text1"/>
        </w:rPr>
        <w:t>=</w:t>
      </w:r>
      <w:r w:rsidR="00111289" w:rsidRPr="008900A2">
        <w:rPr>
          <w:rFonts w:eastAsia="Times New Roman"/>
          <w:bCs w:val="0"/>
          <w:color w:val="000000" w:themeColor="text1"/>
        </w:rPr>
        <w:t xml:space="preserve"> 0.</w:t>
      </w:r>
      <w:r w:rsidR="0055074D" w:rsidRPr="008900A2">
        <w:rPr>
          <w:rFonts w:eastAsia="Times New Roman"/>
          <w:bCs w:val="0"/>
          <w:color w:val="000000" w:themeColor="text1"/>
        </w:rPr>
        <w:t>38</w:t>
      </w:r>
      <w:r w:rsidR="000C4B61" w:rsidRPr="008900A2">
        <w:rPr>
          <w:rFonts w:eastAsia="Times New Roman"/>
          <w:bCs w:val="0"/>
          <w:color w:val="000000" w:themeColor="text1"/>
        </w:rPr>
        <w:t xml:space="preserve">2, </w:t>
      </w:r>
      <w:r w:rsidR="00111289" w:rsidRPr="008900A2">
        <w:rPr>
          <w:rFonts w:eastAsia="Times New Roman"/>
          <w:i/>
          <w:iCs/>
          <w:color w:val="000000" w:themeColor="text1"/>
        </w:rPr>
        <w:t xml:space="preserve">SE = </w:t>
      </w:r>
      <w:r w:rsidR="00111289" w:rsidRPr="008900A2">
        <w:rPr>
          <w:rFonts w:eastAsia="Times New Roman"/>
          <w:bCs w:val="0"/>
          <w:color w:val="000000" w:themeColor="text1"/>
        </w:rPr>
        <w:t>0.</w:t>
      </w:r>
      <w:r w:rsidR="009E154E" w:rsidRPr="008900A2">
        <w:rPr>
          <w:rFonts w:eastAsia="Times New Roman"/>
          <w:bCs w:val="0"/>
          <w:color w:val="000000" w:themeColor="text1"/>
        </w:rPr>
        <w:t>1</w:t>
      </w:r>
      <w:r w:rsidR="0055074D" w:rsidRPr="008900A2">
        <w:rPr>
          <w:rFonts w:eastAsia="Times New Roman"/>
          <w:bCs w:val="0"/>
          <w:color w:val="000000" w:themeColor="text1"/>
        </w:rPr>
        <w:t>0</w:t>
      </w:r>
      <w:r w:rsidR="000F01C9" w:rsidRPr="008900A2">
        <w:rPr>
          <w:rFonts w:eastAsia="Times New Roman"/>
          <w:bCs w:val="0"/>
          <w:color w:val="000000" w:themeColor="text1"/>
        </w:rPr>
        <w:t>9</w:t>
      </w:r>
      <w:r w:rsidR="00111289" w:rsidRPr="008900A2">
        <w:rPr>
          <w:rFonts w:eastAsia="Times New Roman"/>
          <w:color w:val="000000" w:themeColor="text1"/>
        </w:rPr>
        <w:t xml:space="preserve"> </w:t>
      </w:r>
      <w:r w:rsidR="00111289" w:rsidRPr="008900A2">
        <w:rPr>
          <w:rFonts w:eastAsia="Times New Roman"/>
          <w:i/>
          <w:iCs/>
          <w:color w:val="000000" w:themeColor="text1"/>
        </w:rPr>
        <w:t xml:space="preserve">p </w:t>
      </w:r>
      <w:r w:rsidR="009E154E" w:rsidRPr="008900A2">
        <w:rPr>
          <w:rFonts w:eastAsia="Times New Roman"/>
          <w:color w:val="000000" w:themeColor="text1"/>
        </w:rPr>
        <w:t>&lt;</w:t>
      </w:r>
      <w:r w:rsidR="00111289" w:rsidRPr="008900A2">
        <w:rPr>
          <w:rFonts w:eastAsia="Times New Roman"/>
          <w:color w:val="000000" w:themeColor="text1"/>
        </w:rPr>
        <w:t xml:space="preserve"> .0</w:t>
      </w:r>
      <w:r w:rsidR="009E154E" w:rsidRPr="008900A2">
        <w:rPr>
          <w:rFonts w:eastAsia="Times New Roman"/>
          <w:bCs w:val="0"/>
          <w:color w:val="000000" w:themeColor="text1"/>
        </w:rPr>
        <w:t>0</w:t>
      </w:r>
      <w:r w:rsidR="00111289" w:rsidRPr="008900A2">
        <w:rPr>
          <w:rFonts w:eastAsia="Times New Roman"/>
          <w:bCs w:val="0"/>
          <w:color w:val="000000" w:themeColor="text1"/>
        </w:rPr>
        <w:t>1)</w:t>
      </w:r>
      <w:r w:rsidR="00980EAE" w:rsidRPr="008900A2">
        <w:rPr>
          <w:rFonts w:eastAsia="Times New Roman"/>
          <w:bCs w:val="0"/>
          <w:color w:val="000000" w:themeColor="text1"/>
        </w:rPr>
        <w:t xml:space="preserve">, rumination </w:t>
      </w:r>
      <w:r w:rsidR="00111289" w:rsidRPr="008900A2">
        <w:rPr>
          <w:rFonts w:eastAsia="Times New Roman"/>
          <w:bCs w:val="0"/>
          <w:color w:val="000000" w:themeColor="text1"/>
        </w:rPr>
        <w:t>(</w:t>
      </w:r>
      <w:r w:rsidR="00111289" w:rsidRPr="008900A2">
        <w:rPr>
          <w:i/>
          <w:iCs/>
          <w:color w:val="000000" w:themeColor="text1"/>
        </w:rPr>
        <w:t>b</w:t>
      </w:r>
      <w:r w:rsidR="00111289" w:rsidRPr="008900A2" w:rsidDel="00893C07">
        <w:rPr>
          <w:rFonts w:eastAsia="Times New Roman"/>
          <w:color w:val="000000" w:themeColor="text1"/>
        </w:rPr>
        <w:t xml:space="preserve"> </w:t>
      </w:r>
      <w:r w:rsidR="00111289" w:rsidRPr="008900A2">
        <w:rPr>
          <w:rFonts w:eastAsia="Times New Roman"/>
          <w:color w:val="000000" w:themeColor="text1"/>
        </w:rPr>
        <w:t>=</w:t>
      </w:r>
      <w:r w:rsidR="00111289" w:rsidRPr="008900A2">
        <w:rPr>
          <w:rFonts w:eastAsia="Times New Roman"/>
          <w:bCs w:val="0"/>
          <w:color w:val="000000" w:themeColor="text1"/>
        </w:rPr>
        <w:t xml:space="preserve"> 0.</w:t>
      </w:r>
      <w:r w:rsidR="00CB73D2" w:rsidRPr="008900A2">
        <w:rPr>
          <w:rFonts w:eastAsia="Times New Roman"/>
          <w:bCs w:val="0"/>
          <w:color w:val="000000" w:themeColor="text1"/>
        </w:rPr>
        <w:t>1</w:t>
      </w:r>
      <w:r w:rsidR="0055074D" w:rsidRPr="008900A2">
        <w:rPr>
          <w:rFonts w:eastAsia="Times New Roman"/>
          <w:bCs w:val="0"/>
          <w:color w:val="000000" w:themeColor="text1"/>
        </w:rPr>
        <w:t>5</w:t>
      </w:r>
      <w:r w:rsidR="00835283" w:rsidRPr="008900A2">
        <w:rPr>
          <w:rFonts w:eastAsia="Times New Roman"/>
          <w:bCs w:val="0"/>
          <w:color w:val="000000" w:themeColor="text1"/>
        </w:rPr>
        <w:t>8</w:t>
      </w:r>
      <w:r w:rsidR="00860774" w:rsidRPr="008900A2">
        <w:rPr>
          <w:rFonts w:eastAsia="Times New Roman"/>
          <w:bCs w:val="0"/>
          <w:color w:val="000000" w:themeColor="text1"/>
        </w:rPr>
        <w:t>,</w:t>
      </w:r>
      <w:r w:rsidR="00111289" w:rsidRPr="008900A2">
        <w:rPr>
          <w:rFonts w:eastAsia="Times New Roman"/>
          <w:color w:val="000000" w:themeColor="text1"/>
        </w:rPr>
        <w:t xml:space="preserve"> </w:t>
      </w:r>
      <w:r w:rsidR="00111289" w:rsidRPr="008900A2">
        <w:rPr>
          <w:rFonts w:eastAsia="Times New Roman"/>
          <w:i/>
          <w:iCs/>
          <w:color w:val="000000" w:themeColor="text1"/>
        </w:rPr>
        <w:t xml:space="preserve">SE = </w:t>
      </w:r>
      <w:r w:rsidR="00111289" w:rsidRPr="008900A2">
        <w:rPr>
          <w:rFonts w:eastAsia="Times New Roman"/>
          <w:bCs w:val="0"/>
          <w:color w:val="000000" w:themeColor="text1"/>
        </w:rPr>
        <w:t>0.</w:t>
      </w:r>
      <w:r w:rsidR="00507153" w:rsidRPr="008900A2">
        <w:rPr>
          <w:rFonts w:eastAsia="Times New Roman"/>
          <w:bCs w:val="0"/>
          <w:color w:val="000000" w:themeColor="text1"/>
        </w:rPr>
        <w:t>052</w:t>
      </w:r>
      <w:r w:rsidR="00111289" w:rsidRPr="008900A2">
        <w:rPr>
          <w:rFonts w:eastAsia="Times New Roman"/>
          <w:color w:val="000000" w:themeColor="text1"/>
        </w:rPr>
        <w:t xml:space="preserve">, </w:t>
      </w:r>
      <w:r w:rsidR="00111289" w:rsidRPr="008900A2">
        <w:rPr>
          <w:rFonts w:eastAsia="Times New Roman"/>
          <w:i/>
          <w:iCs/>
          <w:color w:val="000000" w:themeColor="text1"/>
        </w:rPr>
        <w:t xml:space="preserve">p </w:t>
      </w:r>
      <w:r w:rsidR="00111289" w:rsidRPr="008900A2">
        <w:rPr>
          <w:rFonts w:eastAsia="Times New Roman"/>
          <w:color w:val="000000" w:themeColor="text1"/>
        </w:rPr>
        <w:t>=</w:t>
      </w:r>
      <w:r w:rsidR="00CB73D2" w:rsidRPr="008900A2">
        <w:rPr>
          <w:rFonts w:eastAsia="Times New Roman"/>
          <w:color w:val="000000" w:themeColor="text1"/>
        </w:rPr>
        <w:t xml:space="preserve"> .00</w:t>
      </w:r>
      <w:r w:rsidR="00507153" w:rsidRPr="008900A2">
        <w:rPr>
          <w:rFonts w:eastAsia="Times New Roman"/>
          <w:color w:val="000000" w:themeColor="text1"/>
        </w:rPr>
        <w:t>2</w:t>
      </w:r>
      <w:r w:rsidR="00111289" w:rsidRPr="008900A2">
        <w:rPr>
          <w:rFonts w:eastAsia="Times New Roman"/>
          <w:bCs w:val="0"/>
          <w:color w:val="000000" w:themeColor="text1"/>
        </w:rPr>
        <w:t>)</w:t>
      </w:r>
      <w:r w:rsidR="00980EAE" w:rsidRPr="008900A2">
        <w:rPr>
          <w:rFonts w:eastAsia="Times New Roman"/>
          <w:bCs w:val="0"/>
          <w:color w:val="000000" w:themeColor="text1"/>
        </w:rPr>
        <w:t xml:space="preserve"> and negative expectations</w:t>
      </w:r>
      <w:r w:rsidR="00C220F7" w:rsidRPr="008900A2">
        <w:rPr>
          <w:rFonts w:eastAsia="Times New Roman"/>
          <w:bCs w:val="0"/>
          <w:color w:val="000000" w:themeColor="text1"/>
        </w:rPr>
        <w:t xml:space="preserve"> </w:t>
      </w:r>
      <w:r w:rsidR="00111289" w:rsidRPr="008900A2">
        <w:rPr>
          <w:rFonts w:eastAsia="Times New Roman"/>
          <w:bCs w:val="0"/>
          <w:color w:val="000000" w:themeColor="text1"/>
        </w:rPr>
        <w:t>(</w:t>
      </w:r>
      <w:r w:rsidR="00111289" w:rsidRPr="008900A2">
        <w:rPr>
          <w:i/>
          <w:iCs/>
          <w:color w:val="000000" w:themeColor="text1"/>
        </w:rPr>
        <w:t>b</w:t>
      </w:r>
      <w:r w:rsidR="00111289" w:rsidRPr="008900A2" w:rsidDel="00893C07">
        <w:rPr>
          <w:rFonts w:eastAsia="Times New Roman"/>
          <w:color w:val="000000" w:themeColor="text1"/>
        </w:rPr>
        <w:t xml:space="preserve"> </w:t>
      </w:r>
      <w:r w:rsidR="00111289" w:rsidRPr="008900A2">
        <w:rPr>
          <w:rFonts w:eastAsia="Times New Roman"/>
          <w:color w:val="000000" w:themeColor="text1"/>
        </w:rPr>
        <w:t>=</w:t>
      </w:r>
      <w:r w:rsidR="00111289" w:rsidRPr="008900A2">
        <w:rPr>
          <w:rFonts w:eastAsia="Times New Roman"/>
          <w:bCs w:val="0"/>
          <w:color w:val="000000" w:themeColor="text1"/>
        </w:rPr>
        <w:t xml:space="preserve"> 0.</w:t>
      </w:r>
      <w:r w:rsidR="009E154E" w:rsidRPr="008900A2">
        <w:rPr>
          <w:rFonts w:eastAsia="Times New Roman"/>
          <w:bCs w:val="0"/>
          <w:color w:val="000000" w:themeColor="text1"/>
        </w:rPr>
        <w:t>56</w:t>
      </w:r>
      <w:r w:rsidR="00507153" w:rsidRPr="008900A2">
        <w:rPr>
          <w:rFonts w:eastAsia="Times New Roman"/>
          <w:bCs w:val="0"/>
          <w:color w:val="000000" w:themeColor="text1"/>
        </w:rPr>
        <w:t>4</w:t>
      </w:r>
      <w:r w:rsidR="00111289" w:rsidRPr="008900A2">
        <w:rPr>
          <w:rFonts w:eastAsia="Times New Roman"/>
          <w:color w:val="000000" w:themeColor="text1"/>
        </w:rPr>
        <w:t xml:space="preserve">, </w:t>
      </w:r>
      <w:r w:rsidR="00111289" w:rsidRPr="008900A2">
        <w:rPr>
          <w:rFonts w:eastAsia="Times New Roman"/>
          <w:i/>
          <w:iCs/>
          <w:color w:val="000000" w:themeColor="text1"/>
        </w:rPr>
        <w:t xml:space="preserve">SE = </w:t>
      </w:r>
      <w:r w:rsidR="00111289" w:rsidRPr="008900A2">
        <w:rPr>
          <w:rFonts w:eastAsia="Times New Roman"/>
          <w:bCs w:val="0"/>
          <w:color w:val="000000" w:themeColor="text1"/>
        </w:rPr>
        <w:t>0</w:t>
      </w:r>
      <w:r w:rsidR="009E154E" w:rsidRPr="008900A2">
        <w:rPr>
          <w:rFonts w:eastAsia="Times New Roman"/>
          <w:bCs w:val="0"/>
          <w:color w:val="000000" w:themeColor="text1"/>
        </w:rPr>
        <w:t>.1</w:t>
      </w:r>
      <w:r w:rsidR="009B255F" w:rsidRPr="008900A2">
        <w:rPr>
          <w:rFonts w:eastAsia="Times New Roman"/>
          <w:bCs w:val="0"/>
          <w:color w:val="000000" w:themeColor="text1"/>
        </w:rPr>
        <w:t>1</w:t>
      </w:r>
      <w:r w:rsidR="00E21EDD" w:rsidRPr="008900A2">
        <w:rPr>
          <w:rFonts w:eastAsia="Times New Roman"/>
          <w:bCs w:val="0"/>
          <w:color w:val="000000" w:themeColor="text1"/>
        </w:rPr>
        <w:t>0</w:t>
      </w:r>
      <w:r w:rsidR="00111289" w:rsidRPr="008900A2">
        <w:rPr>
          <w:rFonts w:eastAsia="Times New Roman"/>
          <w:color w:val="000000" w:themeColor="text1"/>
        </w:rPr>
        <w:t xml:space="preserve">, </w:t>
      </w:r>
      <w:r w:rsidR="00111289" w:rsidRPr="008900A2">
        <w:rPr>
          <w:rFonts w:eastAsia="Times New Roman"/>
          <w:i/>
          <w:iCs/>
          <w:color w:val="000000" w:themeColor="text1"/>
        </w:rPr>
        <w:t xml:space="preserve">p </w:t>
      </w:r>
      <w:r w:rsidR="009E154E" w:rsidRPr="008900A2">
        <w:rPr>
          <w:rFonts w:eastAsia="Times New Roman"/>
          <w:color w:val="000000" w:themeColor="text1"/>
        </w:rPr>
        <w:t>&lt;</w:t>
      </w:r>
      <w:r w:rsidR="00111289" w:rsidRPr="008900A2">
        <w:rPr>
          <w:rFonts w:eastAsia="Times New Roman"/>
          <w:color w:val="000000" w:themeColor="text1"/>
        </w:rPr>
        <w:t xml:space="preserve"> .0</w:t>
      </w:r>
      <w:r w:rsidR="009E154E" w:rsidRPr="008900A2">
        <w:rPr>
          <w:rFonts w:eastAsia="Times New Roman"/>
          <w:bCs w:val="0"/>
          <w:color w:val="000000" w:themeColor="text1"/>
        </w:rPr>
        <w:t>0</w:t>
      </w:r>
      <w:r w:rsidR="00111289" w:rsidRPr="008900A2">
        <w:rPr>
          <w:rFonts w:eastAsia="Times New Roman"/>
          <w:bCs w:val="0"/>
          <w:color w:val="000000" w:themeColor="text1"/>
        </w:rPr>
        <w:t>1)</w:t>
      </w:r>
      <w:r w:rsidR="00980EAE" w:rsidRPr="008900A2">
        <w:rPr>
          <w:rFonts w:eastAsia="Times New Roman"/>
          <w:bCs w:val="0"/>
          <w:color w:val="000000" w:themeColor="text1"/>
        </w:rPr>
        <w:t>.</w:t>
      </w:r>
      <w:r w:rsidR="00353EC9" w:rsidRPr="008900A2">
        <w:rPr>
          <w:rFonts w:eastAsia="Times New Roman"/>
          <w:bCs w:val="0"/>
          <w:color w:val="000000" w:themeColor="text1"/>
        </w:rPr>
        <w:t xml:space="preserve"> </w:t>
      </w:r>
      <w:r w:rsidR="00DF71EB" w:rsidRPr="008900A2">
        <w:rPr>
          <w:rFonts w:eastAsia="Times New Roman"/>
          <w:bCs w:val="0"/>
          <w:color w:val="000000" w:themeColor="text1"/>
        </w:rPr>
        <w:t xml:space="preserve">No other </w:t>
      </w:r>
      <w:r w:rsidR="00795CE6" w:rsidRPr="008900A2">
        <w:rPr>
          <w:rFonts w:eastAsia="Times New Roman"/>
          <w:bCs w:val="0"/>
          <w:color w:val="000000" w:themeColor="text1"/>
        </w:rPr>
        <w:t xml:space="preserve">distal </w:t>
      </w:r>
      <w:r w:rsidR="00DF71EB" w:rsidRPr="008900A2">
        <w:rPr>
          <w:rFonts w:eastAsia="Times New Roman"/>
          <w:bCs w:val="0"/>
          <w:color w:val="000000" w:themeColor="text1"/>
        </w:rPr>
        <w:t xml:space="preserve">marginalization stress variables predicted any other </w:t>
      </w:r>
      <w:r w:rsidR="00795CE6" w:rsidRPr="008900A2">
        <w:rPr>
          <w:rFonts w:eastAsia="Times New Roman"/>
          <w:bCs w:val="0"/>
          <w:color w:val="000000" w:themeColor="text1"/>
        </w:rPr>
        <w:t xml:space="preserve">proximal </w:t>
      </w:r>
      <w:r w:rsidR="00DF71EB" w:rsidRPr="008900A2">
        <w:rPr>
          <w:rFonts w:eastAsia="Times New Roman"/>
          <w:bCs w:val="0"/>
          <w:color w:val="000000" w:themeColor="text1"/>
        </w:rPr>
        <w:t>marginalization stress variables (</w:t>
      </w:r>
      <w:r w:rsidR="00DF71EB" w:rsidRPr="008900A2">
        <w:rPr>
          <w:rFonts w:eastAsia="Times New Roman"/>
          <w:bCs w:val="0"/>
          <w:i/>
          <w:color w:val="000000" w:themeColor="text1"/>
        </w:rPr>
        <w:t>p</w:t>
      </w:r>
      <w:r w:rsidR="00DF71EB" w:rsidRPr="008900A2">
        <w:rPr>
          <w:rFonts w:eastAsia="Times New Roman"/>
          <w:bCs w:val="0"/>
          <w:color w:val="000000" w:themeColor="text1"/>
        </w:rPr>
        <w:t xml:space="preserve"> </w:t>
      </w:r>
      <w:r w:rsidR="00DC4BAD" w:rsidRPr="008900A2">
        <w:rPr>
          <w:rFonts w:eastAsia="Times New Roman"/>
          <w:bCs w:val="0"/>
          <w:color w:val="000000" w:themeColor="text1"/>
        </w:rPr>
        <w:t xml:space="preserve">&gt; </w:t>
      </w:r>
      <w:r w:rsidR="00DF71EB" w:rsidRPr="008900A2">
        <w:rPr>
          <w:rFonts w:eastAsia="Times New Roman"/>
          <w:bCs w:val="0"/>
          <w:color w:val="000000" w:themeColor="text1"/>
        </w:rPr>
        <w:t>.05)</w:t>
      </w:r>
      <w:r w:rsidR="00533469" w:rsidRPr="008900A2">
        <w:rPr>
          <w:rFonts w:eastAsia="Times New Roman"/>
          <w:bCs w:val="0"/>
          <w:color w:val="000000" w:themeColor="text1"/>
        </w:rPr>
        <w:t>.</w:t>
      </w:r>
      <w:bookmarkStart w:id="0" w:name="_Hlk18326741"/>
    </w:p>
    <w:p w14:paraId="637DA85D" w14:textId="2FC4B8FA" w:rsidR="00A655E5" w:rsidRPr="008900A2" w:rsidRDefault="003C08DA" w:rsidP="00A22C40">
      <w:pPr>
        <w:spacing w:after="0" w:line="480" w:lineRule="auto"/>
        <w:rPr>
          <w:rFonts w:eastAsia="Times New Roman"/>
          <w:bCs w:val="0"/>
        </w:rPr>
      </w:pPr>
      <w:r w:rsidRPr="008900A2">
        <w:rPr>
          <w:rFonts w:eastAsia="Times New Roman"/>
          <w:bCs w:val="0"/>
        </w:rPr>
        <w:tab/>
      </w:r>
      <w:r w:rsidR="007207DE" w:rsidRPr="008900A2">
        <w:rPr>
          <w:rFonts w:eastAsia="Times New Roman"/>
          <w:b/>
          <w:i/>
          <w:iCs/>
        </w:rPr>
        <w:t>Depression.</w:t>
      </w:r>
      <w:r w:rsidR="007207DE" w:rsidRPr="008900A2">
        <w:rPr>
          <w:rFonts w:eastAsia="Times New Roman"/>
          <w:bCs w:val="0"/>
        </w:rPr>
        <w:t xml:space="preserve"> </w:t>
      </w:r>
      <w:r w:rsidR="00381B8E" w:rsidRPr="008900A2">
        <w:rPr>
          <w:rFonts w:eastAsia="Times New Roman"/>
          <w:bCs w:val="0"/>
        </w:rPr>
        <w:t>Among marginalization stress variables, only discrimination (</w:t>
      </w:r>
      <w:r w:rsidR="00381B8E" w:rsidRPr="008900A2">
        <w:rPr>
          <w:rFonts w:eastAsia="Times New Roman"/>
          <w:i/>
          <w:iCs/>
        </w:rPr>
        <w:t>b</w:t>
      </w:r>
      <w:r w:rsidR="00381B8E" w:rsidRPr="008900A2" w:rsidDel="00893C07">
        <w:rPr>
          <w:rFonts w:eastAsia="Times New Roman"/>
        </w:rPr>
        <w:t xml:space="preserve"> </w:t>
      </w:r>
      <w:r w:rsidR="00381B8E" w:rsidRPr="008900A2">
        <w:rPr>
          <w:rFonts w:eastAsia="Times New Roman"/>
        </w:rPr>
        <w:t>=</w:t>
      </w:r>
      <w:r w:rsidR="00381B8E" w:rsidRPr="008900A2">
        <w:rPr>
          <w:rFonts w:eastAsia="Times New Roman"/>
          <w:bCs w:val="0"/>
        </w:rPr>
        <w:t xml:space="preserve"> 0.</w:t>
      </w:r>
      <w:r w:rsidR="003407E5" w:rsidRPr="008900A2">
        <w:rPr>
          <w:rFonts w:eastAsia="Times New Roman"/>
          <w:bCs w:val="0"/>
        </w:rPr>
        <w:t>697</w:t>
      </w:r>
      <w:r w:rsidR="00381B8E" w:rsidRPr="008900A2">
        <w:rPr>
          <w:rFonts w:eastAsia="Times New Roman"/>
        </w:rPr>
        <w:t xml:space="preserve">, </w:t>
      </w:r>
      <w:r w:rsidR="00381B8E" w:rsidRPr="008900A2">
        <w:rPr>
          <w:rFonts w:eastAsia="Times New Roman"/>
          <w:i/>
          <w:iCs/>
        </w:rPr>
        <w:t xml:space="preserve">SE = </w:t>
      </w:r>
      <w:r w:rsidR="00381B8E" w:rsidRPr="008900A2">
        <w:rPr>
          <w:rFonts w:eastAsia="Times New Roman"/>
          <w:bCs w:val="0"/>
        </w:rPr>
        <w:t>0.</w:t>
      </w:r>
      <w:r w:rsidR="003407E5" w:rsidRPr="008900A2">
        <w:rPr>
          <w:rFonts w:eastAsia="Times New Roman"/>
          <w:bCs w:val="0"/>
        </w:rPr>
        <w:t>301</w:t>
      </w:r>
      <w:r w:rsidR="00381B8E" w:rsidRPr="008900A2">
        <w:rPr>
          <w:rFonts w:eastAsia="Times New Roman"/>
        </w:rPr>
        <w:t xml:space="preserve">, </w:t>
      </w:r>
      <w:r w:rsidR="00381B8E" w:rsidRPr="008900A2">
        <w:rPr>
          <w:rFonts w:eastAsia="Times New Roman"/>
          <w:i/>
          <w:iCs/>
        </w:rPr>
        <w:t xml:space="preserve">p </w:t>
      </w:r>
      <w:r w:rsidR="00381B8E" w:rsidRPr="008900A2">
        <w:rPr>
          <w:rFonts w:eastAsia="Times New Roman"/>
        </w:rPr>
        <w:t>= .0</w:t>
      </w:r>
      <w:r w:rsidR="003407E5" w:rsidRPr="008900A2">
        <w:rPr>
          <w:rFonts w:eastAsia="Times New Roman"/>
          <w:bCs w:val="0"/>
        </w:rPr>
        <w:t>21</w:t>
      </w:r>
      <w:r w:rsidR="00381B8E" w:rsidRPr="008900A2">
        <w:rPr>
          <w:rFonts w:eastAsia="Times New Roman"/>
          <w:bCs w:val="0"/>
        </w:rPr>
        <w:t>), rumination (</w:t>
      </w:r>
      <w:r w:rsidR="00381B8E" w:rsidRPr="008900A2">
        <w:rPr>
          <w:rFonts w:eastAsia="Times New Roman"/>
          <w:i/>
          <w:iCs/>
        </w:rPr>
        <w:t>b</w:t>
      </w:r>
      <w:r w:rsidR="00381B8E" w:rsidRPr="008900A2" w:rsidDel="00893C07">
        <w:rPr>
          <w:rFonts w:eastAsia="Times New Roman"/>
        </w:rPr>
        <w:t xml:space="preserve"> </w:t>
      </w:r>
      <w:r w:rsidR="00381B8E" w:rsidRPr="008900A2">
        <w:rPr>
          <w:rFonts w:eastAsia="Times New Roman"/>
        </w:rPr>
        <w:t>=</w:t>
      </w:r>
      <w:r w:rsidR="00381B8E" w:rsidRPr="008900A2">
        <w:rPr>
          <w:rFonts w:eastAsia="Times New Roman"/>
          <w:bCs w:val="0"/>
        </w:rPr>
        <w:t xml:space="preserve"> 0.</w:t>
      </w:r>
      <w:r w:rsidR="003407E5" w:rsidRPr="008900A2">
        <w:rPr>
          <w:rFonts w:eastAsia="Times New Roman"/>
          <w:bCs w:val="0"/>
        </w:rPr>
        <w:t>488</w:t>
      </w:r>
      <w:r w:rsidR="00381B8E" w:rsidRPr="008900A2">
        <w:rPr>
          <w:rFonts w:eastAsia="Times New Roman"/>
        </w:rPr>
        <w:t xml:space="preserve">, </w:t>
      </w:r>
      <w:r w:rsidR="00381B8E" w:rsidRPr="008900A2">
        <w:rPr>
          <w:rFonts w:eastAsia="Times New Roman"/>
          <w:i/>
          <w:iCs/>
        </w:rPr>
        <w:t xml:space="preserve">SE = </w:t>
      </w:r>
      <w:r w:rsidR="00381B8E" w:rsidRPr="008900A2">
        <w:rPr>
          <w:rFonts w:eastAsia="Times New Roman"/>
          <w:bCs w:val="0"/>
        </w:rPr>
        <w:t>0.</w:t>
      </w:r>
      <w:r w:rsidR="003407E5" w:rsidRPr="008900A2">
        <w:rPr>
          <w:rFonts w:eastAsia="Times New Roman"/>
          <w:bCs w:val="0"/>
        </w:rPr>
        <w:t>106</w:t>
      </w:r>
      <w:r w:rsidR="00381B8E" w:rsidRPr="008900A2">
        <w:rPr>
          <w:rFonts w:eastAsia="Times New Roman"/>
        </w:rPr>
        <w:t xml:space="preserve">, </w:t>
      </w:r>
      <w:r w:rsidR="00381B8E" w:rsidRPr="008900A2">
        <w:rPr>
          <w:rFonts w:eastAsia="Times New Roman"/>
          <w:i/>
          <w:iCs/>
        </w:rPr>
        <w:t xml:space="preserve">p </w:t>
      </w:r>
      <w:r w:rsidR="00381B8E" w:rsidRPr="008900A2">
        <w:rPr>
          <w:rFonts w:eastAsia="Times New Roman"/>
        </w:rPr>
        <w:t>&lt; .0</w:t>
      </w:r>
      <w:r w:rsidR="00381B8E" w:rsidRPr="008900A2">
        <w:rPr>
          <w:rFonts w:eastAsia="Times New Roman"/>
          <w:bCs w:val="0"/>
        </w:rPr>
        <w:t>01), and negative expectations (</w:t>
      </w:r>
      <w:r w:rsidR="00381B8E" w:rsidRPr="008900A2">
        <w:rPr>
          <w:rFonts w:eastAsia="Times New Roman"/>
          <w:i/>
          <w:iCs/>
        </w:rPr>
        <w:t>b</w:t>
      </w:r>
      <w:r w:rsidR="00381B8E" w:rsidRPr="008900A2" w:rsidDel="00893C07">
        <w:rPr>
          <w:rFonts w:eastAsia="Times New Roman"/>
        </w:rPr>
        <w:t xml:space="preserve"> </w:t>
      </w:r>
      <w:r w:rsidR="00381B8E" w:rsidRPr="008900A2">
        <w:rPr>
          <w:rFonts w:eastAsia="Times New Roman"/>
        </w:rPr>
        <w:t>=</w:t>
      </w:r>
      <w:r w:rsidR="00381B8E" w:rsidRPr="008900A2">
        <w:rPr>
          <w:rFonts w:eastAsia="Times New Roman"/>
          <w:bCs w:val="0"/>
        </w:rPr>
        <w:t xml:space="preserve"> 0.22</w:t>
      </w:r>
      <w:r w:rsidR="003407E5" w:rsidRPr="008900A2">
        <w:rPr>
          <w:rFonts w:eastAsia="Times New Roman"/>
          <w:bCs w:val="0"/>
        </w:rPr>
        <w:t>3</w:t>
      </w:r>
      <w:r w:rsidR="00381B8E" w:rsidRPr="008900A2">
        <w:rPr>
          <w:rFonts w:eastAsia="Times New Roman"/>
        </w:rPr>
        <w:t xml:space="preserve">, </w:t>
      </w:r>
      <w:r w:rsidR="00381B8E" w:rsidRPr="008900A2">
        <w:rPr>
          <w:rFonts w:eastAsia="Times New Roman"/>
          <w:i/>
          <w:iCs/>
        </w:rPr>
        <w:t xml:space="preserve">SE = </w:t>
      </w:r>
      <w:r w:rsidR="00381B8E" w:rsidRPr="008900A2">
        <w:rPr>
          <w:rFonts w:eastAsia="Times New Roman"/>
          <w:bCs w:val="0"/>
        </w:rPr>
        <w:t>0.</w:t>
      </w:r>
      <w:r w:rsidR="00DE3B89" w:rsidRPr="008900A2">
        <w:rPr>
          <w:rFonts w:eastAsia="Times New Roman"/>
          <w:bCs w:val="0"/>
        </w:rPr>
        <w:t>071</w:t>
      </w:r>
      <w:r w:rsidR="00381B8E" w:rsidRPr="008900A2">
        <w:rPr>
          <w:rFonts w:eastAsia="Times New Roman"/>
        </w:rPr>
        <w:t xml:space="preserve">, </w:t>
      </w:r>
      <w:r w:rsidR="00381B8E" w:rsidRPr="008900A2">
        <w:rPr>
          <w:rFonts w:eastAsia="Times New Roman"/>
          <w:i/>
          <w:iCs/>
        </w:rPr>
        <w:t xml:space="preserve">p </w:t>
      </w:r>
      <w:r w:rsidR="00381B8E" w:rsidRPr="008900A2">
        <w:rPr>
          <w:rFonts w:eastAsia="Times New Roman"/>
        </w:rPr>
        <w:t>= .0</w:t>
      </w:r>
      <w:r w:rsidR="00381B8E" w:rsidRPr="008900A2">
        <w:rPr>
          <w:rFonts w:eastAsia="Times New Roman"/>
          <w:bCs w:val="0"/>
        </w:rPr>
        <w:t>0</w:t>
      </w:r>
      <w:r w:rsidR="00DE3B89" w:rsidRPr="008900A2">
        <w:rPr>
          <w:rFonts w:eastAsia="Times New Roman"/>
          <w:bCs w:val="0"/>
        </w:rPr>
        <w:t>2</w:t>
      </w:r>
      <w:r w:rsidR="00381B8E" w:rsidRPr="008900A2">
        <w:rPr>
          <w:rFonts w:eastAsia="Times New Roman"/>
          <w:bCs w:val="0"/>
        </w:rPr>
        <w:t xml:space="preserve">) significantly predicted depression. </w:t>
      </w:r>
      <w:r w:rsidR="00C17869" w:rsidRPr="008900A2">
        <w:rPr>
          <w:rFonts w:eastAsia="Times New Roman"/>
          <w:bCs w:val="0"/>
        </w:rPr>
        <w:t>T</w:t>
      </w:r>
      <w:r w:rsidR="0036468C" w:rsidRPr="008900A2">
        <w:rPr>
          <w:rFonts w:eastAsia="Times New Roman"/>
          <w:bCs w:val="0"/>
        </w:rPr>
        <w:t xml:space="preserve">he resulting </w:t>
      </w:r>
      <w:r w:rsidR="00A562F9" w:rsidRPr="008900A2">
        <w:rPr>
          <w:rFonts w:eastAsia="Times New Roman"/>
          <w:bCs w:val="0"/>
        </w:rPr>
        <w:t xml:space="preserve">tests of indirect effects </w:t>
      </w:r>
      <w:r w:rsidR="00B41ED8" w:rsidRPr="008900A2">
        <w:rPr>
          <w:rFonts w:eastAsia="Times New Roman"/>
          <w:bCs w:val="0"/>
        </w:rPr>
        <w:t>between urban and urban cluster participants</w:t>
      </w:r>
      <w:r w:rsidR="00CB29E6" w:rsidRPr="008900A2">
        <w:rPr>
          <w:rFonts w:eastAsia="Times New Roman"/>
          <w:bCs w:val="0"/>
        </w:rPr>
        <w:t xml:space="preserve"> and</w:t>
      </w:r>
      <w:r w:rsidR="00A562F9" w:rsidRPr="008900A2">
        <w:rPr>
          <w:rFonts w:eastAsia="Times New Roman"/>
          <w:bCs w:val="0"/>
        </w:rPr>
        <w:t xml:space="preserve"> </w:t>
      </w:r>
      <w:r w:rsidR="008B0365" w:rsidRPr="008900A2">
        <w:rPr>
          <w:rFonts w:eastAsia="Times New Roman"/>
          <w:bCs w:val="0"/>
        </w:rPr>
        <w:t xml:space="preserve">depression </w:t>
      </w:r>
      <w:r w:rsidR="00CB29E6" w:rsidRPr="008900A2">
        <w:rPr>
          <w:rFonts w:eastAsia="Times New Roman"/>
          <w:bCs w:val="0"/>
        </w:rPr>
        <w:t xml:space="preserve">through one marginalization stressor (e.g., either distal or proximal) </w:t>
      </w:r>
      <w:r w:rsidR="00A562F9" w:rsidRPr="008900A2">
        <w:rPr>
          <w:rFonts w:eastAsia="Times New Roman"/>
          <w:bCs w:val="0"/>
        </w:rPr>
        <w:t>were significant:</w:t>
      </w:r>
      <w:r w:rsidR="00F04E80" w:rsidRPr="008900A2">
        <w:rPr>
          <w:rFonts w:eastAsia="Times New Roman"/>
          <w:bCs w:val="0"/>
        </w:rPr>
        <w:t xml:space="preserve"> </w:t>
      </w:r>
      <w:r w:rsidR="00237ECC" w:rsidRPr="008900A2">
        <w:rPr>
          <w:rFonts w:eastAsia="Times New Roman"/>
          <w:bCs w:val="0"/>
        </w:rPr>
        <w:t>rumination (</w:t>
      </w:r>
      <w:r w:rsidR="00237ECC" w:rsidRPr="008900A2">
        <w:rPr>
          <w:i/>
          <w:iCs/>
        </w:rPr>
        <w:t>b</w:t>
      </w:r>
      <w:r w:rsidR="00237ECC" w:rsidRPr="008900A2" w:rsidDel="00893C07">
        <w:rPr>
          <w:rFonts w:eastAsia="Times New Roman"/>
        </w:rPr>
        <w:t xml:space="preserve"> </w:t>
      </w:r>
      <w:r w:rsidR="00020D76" w:rsidRPr="008900A2">
        <w:rPr>
          <w:rFonts w:eastAsia="Times New Roman"/>
        </w:rPr>
        <w:t xml:space="preserve">= </w:t>
      </w:r>
      <w:r w:rsidR="00791CC8" w:rsidRPr="008900A2">
        <w:rPr>
          <w:rFonts w:eastAsia="Times New Roman"/>
        </w:rPr>
        <w:t>0.431</w:t>
      </w:r>
      <w:r w:rsidR="00237ECC" w:rsidRPr="008900A2">
        <w:rPr>
          <w:rFonts w:eastAsia="Times New Roman"/>
        </w:rPr>
        <w:t xml:space="preserve">, </w:t>
      </w:r>
      <w:r w:rsidR="00237ECC" w:rsidRPr="008900A2">
        <w:rPr>
          <w:rFonts w:eastAsia="Times New Roman"/>
          <w:bCs w:val="0"/>
        </w:rPr>
        <w:t>95% CI [</w:t>
      </w:r>
      <w:r w:rsidR="000A6E1F" w:rsidRPr="008900A2">
        <w:rPr>
          <w:rFonts w:eastAsia="Times New Roman"/>
          <w:bCs w:val="0"/>
        </w:rPr>
        <w:t>0.</w:t>
      </w:r>
      <w:r w:rsidR="00B419DF" w:rsidRPr="008900A2">
        <w:rPr>
          <w:rFonts w:eastAsia="Times New Roman"/>
          <w:bCs w:val="0"/>
        </w:rPr>
        <w:t>01</w:t>
      </w:r>
      <w:r w:rsidR="00791CC8" w:rsidRPr="008900A2">
        <w:rPr>
          <w:rFonts w:eastAsia="Times New Roman"/>
          <w:bCs w:val="0"/>
        </w:rPr>
        <w:t>4,</w:t>
      </w:r>
      <w:r w:rsidR="008B6B79" w:rsidRPr="008900A2">
        <w:rPr>
          <w:rFonts w:eastAsia="Times New Roman"/>
          <w:bCs w:val="0"/>
        </w:rPr>
        <w:t>0.</w:t>
      </w:r>
      <w:r w:rsidR="008E432E" w:rsidRPr="008900A2">
        <w:rPr>
          <w:rFonts w:eastAsia="Times New Roman"/>
          <w:bCs w:val="0"/>
        </w:rPr>
        <w:t>9</w:t>
      </w:r>
      <w:r w:rsidR="00791CC8" w:rsidRPr="008900A2">
        <w:rPr>
          <w:rFonts w:eastAsia="Times New Roman"/>
          <w:bCs w:val="0"/>
        </w:rPr>
        <w:t>77</w:t>
      </w:r>
      <w:r w:rsidR="00237ECC" w:rsidRPr="008900A2">
        <w:rPr>
          <w:rFonts w:eastAsia="Times New Roman"/>
          <w:bCs w:val="0"/>
        </w:rPr>
        <w:t xml:space="preserve">]), </w:t>
      </w:r>
      <w:r w:rsidR="00F04E80" w:rsidRPr="008900A2">
        <w:rPr>
          <w:rFonts w:eastAsia="Times New Roman"/>
          <w:bCs w:val="0"/>
        </w:rPr>
        <w:t>negative expectations</w:t>
      </w:r>
      <w:r w:rsidR="00A90A98" w:rsidRPr="008900A2">
        <w:rPr>
          <w:rFonts w:eastAsia="Times New Roman"/>
          <w:bCs w:val="0"/>
        </w:rPr>
        <w:t xml:space="preserve"> (</w:t>
      </w:r>
      <w:r w:rsidR="00A90A98" w:rsidRPr="008900A2">
        <w:rPr>
          <w:i/>
          <w:iCs/>
        </w:rPr>
        <w:t>b</w:t>
      </w:r>
      <w:r w:rsidR="00A90A98" w:rsidRPr="008900A2" w:rsidDel="00893C07">
        <w:rPr>
          <w:rFonts w:eastAsia="Times New Roman"/>
        </w:rPr>
        <w:t xml:space="preserve"> </w:t>
      </w:r>
      <w:r w:rsidR="00A90A98" w:rsidRPr="008900A2">
        <w:rPr>
          <w:rFonts w:eastAsia="Times New Roman"/>
        </w:rPr>
        <w:t>=</w:t>
      </w:r>
      <w:r w:rsidR="00A90A98" w:rsidRPr="008900A2">
        <w:rPr>
          <w:rFonts w:eastAsia="Times New Roman"/>
          <w:bCs w:val="0"/>
        </w:rPr>
        <w:t xml:space="preserve"> </w:t>
      </w:r>
      <w:r w:rsidR="00B22973" w:rsidRPr="008900A2">
        <w:rPr>
          <w:rFonts w:eastAsia="Times New Roman"/>
          <w:bCs w:val="0"/>
        </w:rPr>
        <w:t>0.</w:t>
      </w:r>
      <w:r w:rsidR="00791CC8" w:rsidRPr="008900A2">
        <w:rPr>
          <w:rFonts w:eastAsia="Times New Roman"/>
          <w:bCs w:val="0"/>
        </w:rPr>
        <w:t>504</w:t>
      </w:r>
      <w:r w:rsidR="00A90A98" w:rsidRPr="008900A2">
        <w:rPr>
          <w:rFonts w:eastAsia="Times New Roman"/>
        </w:rPr>
        <w:t xml:space="preserve">, </w:t>
      </w:r>
      <w:r w:rsidR="004B76D7" w:rsidRPr="008900A2">
        <w:rPr>
          <w:rFonts w:eastAsia="Times New Roman"/>
          <w:bCs w:val="0"/>
        </w:rPr>
        <w:t>95% CI [0.</w:t>
      </w:r>
      <w:r w:rsidR="0027499A" w:rsidRPr="008900A2">
        <w:rPr>
          <w:rFonts w:eastAsia="Times New Roman"/>
          <w:bCs w:val="0"/>
        </w:rPr>
        <w:t>0</w:t>
      </w:r>
      <w:r w:rsidR="007C43CA" w:rsidRPr="008900A2">
        <w:rPr>
          <w:rFonts w:eastAsia="Times New Roman"/>
          <w:bCs w:val="0"/>
        </w:rPr>
        <w:t>9</w:t>
      </w:r>
      <w:r w:rsidR="00AC05DE" w:rsidRPr="008900A2">
        <w:rPr>
          <w:rFonts w:eastAsia="Times New Roman"/>
          <w:bCs w:val="0"/>
        </w:rPr>
        <w:t>3</w:t>
      </w:r>
      <w:r w:rsidR="008E432E" w:rsidRPr="008900A2">
        <w:rPr>
          <w:rFonts w:eastAsia="Times New Roman"/>
          <w:bCs w:val="0"/>
        </w:rPr>
        <w:t>.1</w:t>
      </w:r>
      <w:r w:rsidR="00AC05DE" w:rsidRPr="008900A2">
        <w:rPr>
          <w:rFonts w:eastAsia="Times New Roman"/>
          <w:bCs w:val="0"/>
        </w:rPr>
        <w:t>86</w:t>
      </w:r>
      <w:r w:rsidR="00237ECC" w:rsidRPr="008900A2">
        <w:rPr>
          <w:rFonts w:eastAsia="Times New Roman"/>
          <w:bCs w:val="0"/>
        </w:rPr>
        <w:t>]</w:t>
      </w:r>
      <w:r w:rsidR="004B76D7" w:rsidRPr="008900A2">
        <w:rPr>
          <w:rFonts w:eastAsia="Times New Roman"/>
          <w:bCs w:val="0"/>
        </w:rPr>
        <w:t>)</w:t>
      </w:r>
      <w:r w:rsidR="000F66FF" w:rsidRPr="008900A2">
        <w:rPr>
          <w:rFonts w:eastAsia="Times New Roman"/>
          <w:bCs w:val="0"/>
        </w:rPr>
        <w:t xml:space="preserve"> </w:t>
      </w:r>
      <w:r w:rsidR="00533469" w:rsidRPr="008900A2">
        <w:rPr>
          <w:rFonts w:eastAsia="Times New Roman"/>
          <w:bCs w:val="0"/>
        </w:rPr>
        <w:t>and</w:t>
      </w:r>
      <w:r w:rsidR="00F04E80" w:rsidRPr="008900A2">
        <w:rPr>
          <w:rFonts w:eastAsia="Times New Roman"/>
          <w:bCs w:val="0"/>
        </w:rPr>
        <w:t xml:space="preserve"> discrimination</w:t>
      </w:r>
      <w:r w:rsidR="004B76D7" w:rsidRPr="008900A2">
        <w:rPr>
          <w:rFonts w:eastAsia="Times New Roman"/>
          <w:bCs w:val="0"/>
        </w:rPr>
        <w:t xml:space="preserve"> (</w:t>
      </w:r>
      <w:r w:rsidR="004B76D7" w:rsidRPr="008900A2">
        <w:rPr>
          <w:rFonts w:eastAsia="Times New Roman"/>
          <w:bCs w:val="0"/>
          <w:i/>
          <w:iCs/>
        </w:rPr>
        <w:t>b =</w:t>
      </w:r>
      <w:r w:rsidR="004B76D7" w:rsidRPr="008900A2">
        <w:rPr>
          <w:rFonts w:eastAsia="Times New Roman"/>
          <w:bCs w:val="0"/>
        </w:rPr>
        <w:t xml:space="preserve"> </w:t>
      </w:r>
      <w:r w:rsidR="00B22973" w:rsidRPr="008900A2">
        <w:rPr>
          <w:rFonts w:eastAsia="Times New Roman"/>
          <w:bCs w:val="0"/>
        </w:rPr>
        <w:t>0.4</w:t>
      </w:r>
      <w:r w:rsidR="00AC05DE" w:rsidRPr="008900A2">
        <w:rPr>
          <w:rFonts w:eastAsia="Times New Roman"/>
          <w:bCs w:val="0"/>
        </w:rPr>
        <w:t>53</w:t>
      </w:r>
      <w:r w:rsidR="004B76D7" w:rsidRPr="008900A2">
        <w:rPr>
          <w:rFonts w:eastAsia="Times New Roman"/>
          <w:bCs w:val="0"/>
        </w:rPr>
        <w:t>, 95% CI [</w:t>
      </w:r>
      <w:r w:rsidR="00551E85" w:rsidRPr="008900A2">
        <w:rPr>
          <w:rFonts w:eastAsia="Times New Roman"/>
          <w:bCs w:val="0"/>
        </w:rPr>
        <w:t>0.0</w:t>
      </w:r>
      <w:r w:rsidR="000A3F66" w:rsidRPr="008900A2">
        <w:rPr>
          <w:rFonts w:eastAsia="Times New Roman"/>
          <w:bCs w:val="0"/>
        </w:rPr>
        <w:t>55</w:t>
      </w:r>
      <w:r w:rsidR="004B76D7" w:rsidRPr="008900A2">
        <w:rPr>
          <w:rFonts w:eastAsia="Times New Roman"/>
          <w:bCs w:val="0"/>
        </w:rPr>
        <w:t xml:space="preserve">, </w:t>
      </w:r>
      <w:r w:rsidR="00034881" w:rsidRPr="008900A2">
        <w:rPr>
          <w:rFonts w:eastAsia="Times New Roman"/>
          <w:bCs w:val="0"/>
        </w:rPr>
        <w:t>1.2</w:t>
      </w:r>
      <w:r w:rsidR="000A3F66" w:rsidRPr="008900A2">
        <w:rPr>
          <w:rFonts w:eastAsia="Times New Roman"/>
          <w:bCs w:val="0"/>
        </w:rPr>
        <w:t>1</w:t>
      </w:r>
      <w:r w:rsidR="00551E85" w:rsidRPr="008900A2">
        <w:rPr>
          <w:rFonts w:eastAsia="Times New Roman"/>
          <w:bCs w:val="0"/>
        </w:rPr>
        <w:t>8</w:t>
      </w:r>
      <w:r w:rsidR="004B76D7" w:rsidRPr="008900A2">
        <w:rPr>
          <w:rFonts w:eastAsia="Times New Roman"/>
          <w:bCs w:val="0"/>
        </w:rPr>
        <w:t>])</w:t>
      </w:r>
      <w:r w:rsidR="00F04E80" w:rsidRPr="008900A2">
        <w:rPr>
          <w:rFonts w:eastAsia="Times New Roman"/>
          <w:bCs w:val="0"/>
        </w:rPr>
        <w:t xml:space="preserve">. </w:t>
      </w:r>
      <w:r w:rsidR="00DD010A" w:rsidRPr="008900A2">
        <w:rPr>
          <w:rFonts w:eastAsia="Times New Roman"/>
          <w:bCs w:val="0"/>
        </w:rPr>
        <w:t>There were also t</w:t>
      </w:r>
      <w:r w:rsidR="001E4568" w:rsidRPr="008900A2">
        <w:rPr>
          <w:rFonts w:eastAsia="Times New Roman"/>
          <w:bCs w:val="0"/>
        </w:rPr>
        <w:t xml:space="preserve">wo </w:t>
      </w:r>
      <w:r w:rsidR="00DD010A" w:rsidRPr="008900A2">
        <w:rPr>
          <w:rFonts w:eastAsia="Times New Roman"/>
          <w:bCs w:val="0"/>
        </w:rPr>
        <w:t>significant indirect effects</w:t>
      </w:r>
      <w:r w:rsidR="00CB29E6" w:rsidRPr="008900A2">
        <w:rPr>
          <w:rFonts w:eastAsia="Times New Roman"/>
          <w:bCs w:val="0"/>
        </w:rPr>
        <w:t xml:space="preserve"> between area and depression through two marginalization stressors (e.g., distal predicting proximal)</w:t>
      </w:r>
      <w:r w:rsidR="00DD010A" w:rsidRPr="008900A2">
        <w:rPr>
          <w:rFonts w:eastAsia="Times New Roman"/>
          <w:bCs w:val="0"/>
        </w:rPr>
        <w:t xml:space="preserve"> </w:t>
      </w:r>
      <w:r w:rsidR="00316B3F">
        <w:rPr>
          <w:rFonts w:eastAsia="Times New Roman"/>
          <w:bCs w:val="0"/>
        </w:rPr>
        <w:t xml:space="preserve">for </w:t>
      </w:r>
      <w:r w:rsidR="00DD010A" w:rsidRPr="008900A2">
        <w:rPr>
          <w:rFonts w:eastAsia="Times New Roman"/>
          <w:bCs w:val="0"/>
        </w:rPr>
        <w:t>urban and urban cluster participants</w:t>
      </w:r>
      <w:r w:rsidR="00316B3F">
        <w:rPr>
          <w:rFonts w:eastAsia="Times New Roman"/>
          <w:bCs w:val="0"/>
        </w:rPr>
        <w:t xml:space="preserve"> via</w:t>
      </w:r>
      <w:r w:rsidR="00DD010A" w:rsidRPr="008900A2">
        <w:rPr>
          <w:rFonts w:eastAsia="Times New Roman"/>
          <w:bCs w:val="0"/>
        </w:rPr>
        <w:t xml:space="preserve"> </w:t>
      </w:r>
      <w:r w:rsidR="00151E9A" w:rsidRPr="008900A2">
        <w:rPr>
          <w:rFonts w:eastAsia="Times New Roman"/>
          <w:bCs w:val="0"/>
        </w:rPr>
        <w:t>n</w:t>
      </w:r>
      <w:r w:rsidR="00DD010A" w:rsidRPr="008900A2">
        <w:rPr>
          <w:rFonts w:eastAsia="Times New Roman"/>
          <w:bCs w:val="0"/>
        </w:rPr>
        <w:t>on-affirmation and negative expectations (</w:t>
      </w:r>
      <w:r w:rsidR="00695E4A" w:rsidRPr="008900A2">
        <w:rPr>
          <w:rFonts w:eastAsia="Times New Roman"/>
          <w:bCs w:val="0"/>
          <w:i/>
          <w:iCs/>
        </w:rPr>
        <w:t>b</w:t>
      </w:r>
      <w:r w:rsidR="00695E4A" w:rsidRPr="008900A2">
        <w:rPr>
          <w:rFonts w:eastAsia="Times New Roman"/>
          <w:bCs w:val="0"/>
        </w:rPr>
        <w:t xml:space="preserve"> = </w:t>
      </w:r>
      <w:r w:rsidR="002C2EED" w:rsidRPr="008900A2">
        <w:rPr>
          <w:rFonts w:eastAsia="Times New Roman"/>
          <w:bCs w:val="0"/>
        </w:rPr>
        <w:t>0.20</w:t>
      </w:r>
      <w:r w:rsidR="000443E6" w:rsidRPr="008900A2">
        <w:rPr>
          <w:rFonts w:eastAsia="Times New Roman"/>
          <w:bCs w:val="0"/>
        </w:rPr>
        <w:t>9</w:t>
      </w:r>
      <w:r w:rsidR="004B69B6" w:rsidRPr="008900A2">
        <w:rPr>
          <w:rFonts w:eastAsia="Times New Roman"/>
          <w:bCs w:val="0"/>
        </w:rPr>
        <w:t>, 95</w:t>
      </w:r>
      <w:r w:rsidR="00DD010A" w:rsidRPr="008900A2">
        <w:rPr>
          <w:rFonts w:eastAsia="Times New Roman"/>
          <w:bCs w:val="0"/>
        </w:rPr>
        <w:t>% CI [</w:t>
      </w:r>
      <w:r w:rsidR="000443E6" w:rsidRPr="008900A2">
        <w:rPr>
          <w:rFonts w:eastAsia="Times New Roman"/>
          <w:bCs w:val="0"/>
        </w:rPr>
        <w:t>.031</w:t>
      </w:r>
      <w:r w:rsidR="00DD010A" w:rsidRPr="008900A2">
        <w:rPr>
          <w:rFonts w:eastAsia="Times New Roman"/>
          <w:bCs w:val="0"/>
        </w:rPr>
        <w:t>, 0.</w:t>
      </w:r>
      <w:r w:rsidR="000443E6" w:rsidRPr="008900A2">
        <w:rPr>
          <w:rFonts w:eastAsia="Times New Roman"/>
          <w:bCs w:val="0"/>
        </w:rPr>
        <w:t>563</w:t>
      </w:r>
      <w:r w:rsidR="00DD010A" w:rsidRPr="008900A2">
        <w:rPr>
          <w:rFonts w:eastAsia="Times New Roman"/>
          <w:bCs w:val="0"/>
        </w:rPr>
        <w:t>])</w:t>
      </w:r>
      <w:r w:rsidR="00AA1CA7" w:rsidRPr="008900A2">
        <w:rPr>
          <w:rFonts w:eastAsia="Times New Roman"/>
          <w:bCs w:val="0"/>
        </w:rPr>
        <w:t xml:space="preserve"> and</w:t>
      </w:r>
      <w:r w:rsidR="00316B3F">
        <w:rPr>
          <w:rFonts w:eastAsia="Times New Roman"/>
          <w:bCs w:val="0"/>
        </w:rPr>
        <w:t xml:space="preserve"> via</w:t>
      </w:r>
      <w:r w:rsidR="00AA1CA7" w:rsidRPr="008900A2">
        <w:rPr>
          <w:rFonts w:eastAsia="Times New Roman"/>
          <w:bCs w:val="0"/>
        </w:rPr>
        <w:t xml:space="preserve"> </w:t>
      </w:r>
      <w:r w:rsidR="00DD010A" w:rsidRPr="008900A2">
        <w:rPr>
          <w:rFonts w:eastAsia="Times New Roman"/>
          <w:bCs w:val="0"/>
        </w:rPr>
        <w:t xml:space="preserve">non-affirmation and rumination </w:t>
      </w:r>
      <w:r w:rsidR="00DD010A" w:rsidRPr="008900A2">
        <w:rPr>
          <w:rFonts w:eastAsia="Times New Roman"/>
          <w:bCs w:val="0"/>
          <w:i/>
          <w:iCs/>
        </w:rPr>
        <w:t>(b</w:t>
      </w:r>
      <w:r w:rsidR="00DD010A" w:rsidRPr="008900A2">
        <w:rPr>
          <w:rFonts w:eastAsia="Times New Roman"/>
          <w:bCs w:val="0"/>
        </w:rPr>
        <w:t xml:space="preserve"> = 0.1</w:t>
      </w:r>
      <w:r w:rsidR="00C00826" w:rsidRPr="008900A2">
        <w:rPr>
          <w:rFonts w:eastAsia="Times New Roman"/>
          <w:bCs w:val="0"/>
        </w:rPr>
        <w:t>28</w:t>
      </w:r>
      <w:r w:rsidR="00DD010A" w:rsidRPr="008900A2">
        <w:rPr>
          <w:rFonts w:eastAsia="Times New Roman"/>
          <w:bCs w:val="0"/>
        </w:rPr>
        <w:t>, 95% CI [0.0</w:t>
      </w:r>
      <w:r w:rsidR="00C00826" w:rsidRPr="008900A2">
        <w:rPr>
          <w:rFonts w:eastAsia="Times New Roman"/>
          <w:bCs w:val="0"/>
        </w:rPr>
        <w:t>30</w:t>
      </w:r>
      <w:r w:rsidR="00DD010A" w:rsidRPr="008900A2">
        <w:rPr>
          <w:rFonts w:eastAsia="Times New Roman"/>
          <w:bCs w:val="0"/>
        </w:rPr>
        <w:t>, 0.3</w:t>
      </w:r>
      <w:r w:rsidR="00CC2C05" w:rsidRPr="008900A2">
        <w:rPr>
          <w:rFonts w:eastAsia="Times New Roman"/>
          <w:bCs w:val="0"/>
        </w:rPr>
        <w:t>4</w:t>
      </w:r>
      <w:r w:rsidR="00C00826" w:rsidRPr="008900A2">
        <w:rPr>
          <w:rFonts w:eastAsia="Times New Roman"/>
          <w:bCs w:val="0"/>
        </w:rPr>
        <w:t>7</w:t>
      </w:r>
      <w:r w:rsidR="00DD010A" w:rsidRPr="008900A2">
        <w:rPr>
          <w:rFonts w:eastAsia="Times New Roman"/>
          <w:bCs w:val="0"/>
        </w:rPr>
        <w:t>]</w:t>
      </w:r>
      <w:r w:rsidR="00C50202" w:rsidRPr="008900A2">
        <w:rPr>
          <w:rFonts w:eastAsia="Times New Roman"/>
          <w:bCs w:val="0"/>
        </w:rPr>
        <w:t>)</w:t>
      </w:r>
      <w:r w:rsidR="00AA1CA7" w:rsidRPr="008900A2">
        <w:rPr>
          <w:rFonts w:eastAsia="Times New Roman"/>
          <w:bCs w:val="0"/>
        </w:rPr>
        <w:t>.</w:t>
      </w:r>
    </w:p>
    <w:p w14:paraId="44EDD1A5" w14:textId="7901751C" w:rsidR="007207DE" w:rsidRPr="008900A2" w:rsidRDefault="00381B8E" w:rsidP="00A655E5">
      <w:pPr>
        <w:spacing w:after="0" w:line="480" w:lineRule="auto"/>
        <w:ind w:firstLine="720"/>
        <w:rPr>
          <w:rFonts w:eastAsia="Times New Roman"/>
          <w:bCs w:val="0"/>
        </w:rPr>
      </w:pPr>
      <w:r w:rsidRPr="008900A2">
        <w:rPr>
          <w:rFonts w:eastAsia="Times New Roman"/>
          <w:bCs w:val="0"/>
        </w:rPr>
        <w:t>Regarding</w:t>
      </w:r>
      <w:r w:rsidR="00DD010A" w:rsidRPr="008900A2">
        <w:rPr>
          <w:rFonts w:eastAsia="Times New Roman"/>
          <w:bCs w:val="0"/>
        </w:rPr>
        <w:t xml:space="preserve"> differences between rural and urban residents, </w:t>
      </w:r>
      <w:r w:rsidR="00451C39" w:rsidRPr="008900A2">
        <w:rPr>
          <w:rFonts w:eastAsia="Times New Roman"/>
          <w:bCs w:val="0"/>
        </w:rPr>
        <w:t>there</w:t>
      </w:r>
      <w:r w:rsidR="001659C6" w:rsidRPr="008900A2">
        <w:rPr>
          <w:rFonts w:eastAsia="Times New Roman"/>
          <w:bCs w:val="0"/>
        </w:rPr>
        <w:t xml:space="preserve"> was a significant indirect effect on depression through </w:t>
      </w:r>
      <w:r w:rsidR="00FC126B" w:rsidRPr="008900A2">
        <w:rPr>
          <w:rFonts w:eastAsia="Times New Roman"/>
          <w:bCs w:val="0"/>
        </w:rPr>
        <w:t>discrimination (</w:t>
      </w:r>
      <w:r w:rsidR="00FC126B" w:rsidRPr="008900A2">
        <w:rPr>
          <w:rFonts w:eastAsia="Times New Roman"/>
          <w:bCs w:val="0"/>
          <w:i/>
          <w:iCs/>
        </w:rPr>
        <w:t>b</w:t>
      </w:r>
      <w:r w:rsidR="00FC126B" w:rsidRPr="008900A2">
        <w:rPr>
          <w:rFonts w:eastAsia="Times New Roman"/>
          <w:bCs w:val="0"/>
        </w:rPr>
        <w:t xml:space="preserve"> = </w:t>
      </w:r>
      <w:r w:rsidR="00323488" w:rsidRPr="008900A2">
        <w:rPr>
          <w:rFonts w:eastAsia="Times New Roman"/>
          <w:bCs w:val="0"/>
        </w:rPr>
        <w:t>0.5</w:t>
      </w:r>
      <w:r w:rsidR="007464EA" w:rsidRPr="008900A2">
        <w:rPr>
          <w:rFonts w:eastAsia="Times New Roman"/>
          <w:bCs w:val="0"/>
        </w:rPr>
        <w:t>85</w:t>
      </w:r>
      <w:r w:rsidR="00FC126B" w:rsidRPr="008900A2">
        <w:rPr>
          <w:rFonts w:eastAsia="Times New Roman"/>
          <w:bCs w:val="0"/>
        </w:rPr>
        <w:t>, 95% CI [0.0</w:t>
      </w:r>
      <w:r w:rsidR="007464EA" w:rsidRPr="008900A2">
        <w:rPr>
          <w:rFonts w:eastAsia="Times New Roman"/>
          <w:bCs w:val="0"/>
        </w:rPr>
        <w:t>28</w:t>
      </w:r>
      <w:r w:rsidR="00323488" w:rsidRPr="008900A2">
        <w:rPr>
          <w:rFonts w:eastAsia="Times New Roman"/>
          <w:bCs w:val="0"/>
        </w:rPr>
        <w:t>,</w:t>
      </w:r>
      <w:r w:rsidR="00FC126B" w:rsidRPr="008900A2">
        <w:rPr>
          <w:rFonts w:eastAsia="Times New Roman"/>
          <w:bCs w:val="0"/>
        </w:rPr>
        <w:t>1.70</w:t>
      </w:r>
      <w:r w:rsidR="007464EA" w:rsidRPr="008900A2">
        <w:rPr>
          <w:rFonts w:eastAsia="Times New Roman"/>
          <w:bCs w:val="0"/>
        </w:rPr>
        <w:t>2</w:t>
      </w:r>
      <w:r w:rsidR="00FC126B" w:rsidRPr="008900A2">
        <w:rPr>
          <w:rFonts w:eastAsia="Times New Roman"/>
          <w:bCs w:val="0"/>
        </w:rPr>
        <w:t>])</w:t>
      </w:r>
      <w:r w:rsidR="00451C39" w:rsidRPr="008900A2">
        <w:rPr>
          <w:rFonts w:eastAsia="Times New Roman"/>
          <w:bCs w:val="0"/>
        </w:rPr>
        <w:t>. There were also significant indirect effects between two marginalization stressors (e.g., distal predicting proximal)</w:t>
      </w:r>
      <w:r w:rsidR="005F61F3" w:rsidRPr="008900A2">
        <w:rPr>
          <w:rFonts w:eastAsia="Times New Roman"/>
          <w:bCs w:val="0"/>
        </w:rPr>
        <w:t xml:space="preserve"> and</w:t>
      </w:r>
      <w:r w:rsidR="00DD010A" w:rsidRPr="008900A2">
        <w:rPr>
          <w:rFonts w:eastAsia="Times New Roman"/>
          <w:bCs w:val="0"/>
        </w:rPr>
        <w:t xml:space="preserve"> depression through non-affirmation and negative expectations </w:t>
      </w:r>
      <w:r w:rsidR="00DD010A" w:rsidRPr="008900A2">
        <w:rPr>
          <w:rFonts w:eastAsia="Times New Roman"/>
          <w:bCs w:val="0"/>
          <w:i/>
          <w:iCs/>
        </w:rPr>
        <w:t>(b</w:t>
      </w:r>
      <w:r w:rsidR="00DD010A" w:rsidRPr="008900A2">
        <w:rPr>
          <w:rFonts w:eastAsia="Times New Roman"/>
          <w:bCs w:val="0"/>
        </w:rPr>
        <w:t xml:space="preserve"> = </w:t>
      </w:r>
      <w:r w:rsidR="00F84278" w:rsidRPr="008900A2">
        <w:rPr>
          <w:rFonts w:eastAsia="Times New Roman"/>
          <w:bCs w:val="0"/>
        </w:rPr>
        <w:t>-0.3</w:t>
      </w:r>
      <w:r w:rsidR="00BE1F64" w:rsidRPr="008900A2">
        <w:rPr>
          <w:rFonts w:eastAsia="Times New Roman"/>
          <w:bCs w:val="0"/>
        </w:rPr>
        <w:t>23</w:t>
      </w:r>
      <w:r w:rsidR="00DD010A" w:rsidRPr="008900A2">
        <w:rPr>
          <w:rFonts w:eastAsia="Times New Roman"/>
          <w:bCs w:val="0"/>
        </w:rPr>
        <w:t>, 95% CI [-0.8</w:t>
      </w:r>
      <w:r w:rsidR="00BE1F64" w:rsidRPr="008900A2">
        <w:rPr>
          <w:rFonts w:eastAsia="Times New Roman"/>
          <w:bCs w:val="0"/>
        </w:rPr>
        <w:t>80</w:t>
      </w:r>
      <w:r w:rsidR="00DD010A" w:rsidRPr="008900A2">
        <w:rPr>
          <w:rFonts w:eastAsia="Times New Roman"/>
          <w:bCs w:val="0"/>
        </w:rPr>
        <w:t>, -0.</w:t>
      </w:r>
      <w:r w:rsidR="00451C39" w:rsidRPr="008900A2">
        <w:rPr>
          <w:rFonts w:eastAsia="Times New Roman"/>
          <w:bCs w:val="0"/>
        </w:rPr>
        <w:t>06</w:t>
      </w:r>
      <w:r w:rsidR="00BE1F64" w:rsidRPr="008900A2">
        <w:rPr>
          <w:rFonts w:eastAsia="Times New Roman"/>
          <w:bCs w:val="0"/>
        </w:rPr>
        <w:t>1</w:t>
      </w:r>
      <w:r w:rsidR="00DD010A" w:rsidRPr="008900A2">
        <w:rPr>
          <w:rFonts w:eastAsia="Times New Roman"/>
          <w:bCs w:val="0"/>
        </w:rPr>
        <w:t>])</w:t>
      </w:r>
      <w:r w:rsidR="00045D5F" w:rsidRPr="008900A2">
        <w:rPr>
          <w:rFonts w:eastAsia="Times New Roman"/>
          <w:bCs w:val="0"/>
        </w:rPr>
        <w:t xml:space="preserve"> and </w:t>
      </w:r>
      <w:r w:rsidR="00BC4553" w:rsidRPr="008900A2">
        <w:rPr>
          <w:rFonts w:eastAsia="Times New Roman"/>
          <w:bCs w:val="0"/>
        </w:rPr>
        <w:t>non-affirmation and rumination, (</w:t>
      </w:r>
      <w:r w:rsidR="00BC4553" w:rsidRPr="008900A2">
        <w:rPr>
          <w:rFonts w:eastAsia="Times New Roman"/>
          <w:bCs w:val="0"/>
          <w:i/>
          <w:iCs/>
        </w:rPr>
        <w:t>b</w:t>
      </w:r>
      <w:r w:rsidR="00BC4553" w:rsidRPr="008900A2">
        <w:rPr>
          <w:rFonts w:eastAsia="Times New Roman"/>
          <w:bCs w:val="0"/>
        </w:rPr>
        <w:t xml:space="preserve"> = </w:t>
      </w:r>
      <w:r w:rsidR="007F6310" w:rsidRPr="008900A2">
        <w:rPr>
          <w:rFonts w:eastAsia="Times New Roman"/>
          <w:bCs w:val="0"/>
        </w:rPr>
        <w:t>0.19</w:t>
      </w:r>
      <w:r w:rsidR="0073025C" w:rsidRPr="008900A2">
        <w:rPr>
          <w:rFonts w:eastAsia="Times New Roman"/>
          <w:bCs w:val="0"/>
        </w:rPr>
        <w:t>7</w:t>
      </w:r>
      <w:r w:rsidR="00BC4553" w:rsidRPr="008900A2">
        <w:rPr>
          <w:rFonts w:eastAsia="Times New Roman"/>
          <w:bCs w:val="0"/>
        </w:rPr>
        <w:t>, 95% CI [-0</w:t>
      </w:r>
      <w:r w:rsidR="007F6310" w:rsidRPr="008900A2">
        <w:rPr>
          <w:rFonts w:eastAsia="Times New Roman"/>
          <w:bCs w:val="0"/>
        </w:rPr>
        <w:t>.5</w:t>
      </w:r>
      <w:r w:rsidR="0073025C" w:rsidRPr="008900A2">
        <w:rPr>
          <w:rFonts w:eastAsia="Times New Roman"/>
          <w:bCs w:val="0"/>
        </w:rPr>
        <w:t>48</w:t>
      </w:r>
      <w:r w:rsidR="00BC4553" w:rsidRPr="008900A2">
        <w:rPr>
          <w:rFonts w:eastAsia="Times New Roman"/>
          <w:bCs w:val="0"/>
        </w:rPr>
        <w:t>, -0.0</w:t>
      </w:r>
      <w:r w:rsidR="007F6310" w:rsidRPr="008900A2">
        <w:rPr>
          <w:rFonts w:eastAsia="Times New Roman"/>
          <w:bCs w:val="0"/>
        </w:rPr>
        <w:t>4</w:t>
      </w:r>
      <w:r w:rsidR="0073025C" w:rsidRPr="008900A2">
        <w:rPr>
          <w:rFonts w:eastAsia="Times New Roman"/>
          <w:bCs w:val="0"/>
        </w:rPr>
        <w:t>8</w:t>
      </w:r>
      <w:r w:rsidR="00BC4553" w:rsidRPr="008900A2">
        <w:rPr>
          <w:rFonts w:eastAsia="Times New Roman"/>
          <w:bCs w:val="0"/>
        </w:rPr>
        <w:t>])</w:t>
      </w:r>
      <w:r w:rsidR="005C124B" w:rsidRPr="008900A2">
        <w:rPr>
          <w:rFonts w:eastAsia="Times New Roman"/>
          <w:bCs w:val="0"/>
        </w:rPr>
        <w:t>.</w:t>
      </w:r>
    </w:p>
    <w:p w14:paraId="24EFB3FC" w14:textId="59C89403" w:rsidR="0002132E" w:rsidRPr="008900A2" w:rsidRDefault="007207DE" w:rsidP="008A147B">
      <w:pPr>
        <w:spacing w:after="0" w:line="480" w:lineRule="auto"/>
        <w:rPr>
          <w:rFonts w:eastAsia="Times New Roman"/>
          <w:bCs w:val="0"/>
        </w:rPr>
      </w:pPr>
      <w:r w:rsidRPr="008900A2">
        <w:rPr>
          <w:rFonts w:eastAsia="Times New Roman"/>
          <w:bCs w:val="0"/>
        </w:rPr>
        <w:tab/>
      </w:r>
      <w:r w:rsidRPr="008900A2">
        <w:rPr>
          <w:rFonts w:eastAsia="Times New Roman"/>
          <w:b/>
          <w:i/>
          <w:iCs/>
        </w:rPr>
        <w:t>Suicidal Ideation.</w:t>
      </w:r>
      <w:r w:rsidRPr="008900A2">
        <w:rPr>
          <w:rFonts w:eastAsia="Times New Roman"/>
          <w:bCs w:val="0"/>
        </w:rPr>
        <w:t xml:space="preserve"> </w:t>
      </w:r>
      <w:r w:rsidR="00DD010A" w:rsidRPr="008900A2">
        <w:rPr>
          <w:rFonts w:eastAsia="Times New Roman"/>
          <w:bCs w:val="0"/>
        </w:rPr>
        <w:t>When examining marginalization stressors as predictors of suicidal ideation,</w:t>
      </w:r>
      <w:r w:rsidR="0056732B" w:rsidRPr="008900A2">
        <w:rPr>
          <w:rFonts w:eastAsia="Times New Roman"/>
          <w:bCs w:val="0"/>
        </w:rPr>
        <w:t xml:space="preserve"> only</w:t>
      </w:r>
      <w:r w:rsidR="008153C1" w:rsidRPr="008900A2">
        <w:rPr>
          <w:rFonts w:eastAsia="Times New Roman"/>
          <w:bCs w:val="0"/>
        </w:rPr>
        <w:t xml:space="preserve"> discrimination</w:t>
      </w:r>
      <w:r w:rsidR="00DD010A" w:rsidRPr="008900A2">
        <w:rPr>
          <w:rFonts w:eastAsia="Times New Roman"/>
          <w:bCs w:val="0"/>
        </w:rPr>
        <w:t xml:space="preserve"> (</w:t>
      </w:r>
      <w:r w:rsidR="00DD010A" w:rsidRPr="008900A2">
        <w:rPr>
          <w:rFonts w:eastAsia="Times New Roman"/>
          <w:bCs w:val="0"/>
          <w:i/>
          <w:iCs/>
        </w:rPr>
        <w:t xml:space="preserve">b = </w:t>
      </w:r>
      <w:r w:rsidR="00DD010A" w:rsidRPr="008900A2">
        <w:rPr>
          <w:rFonts w:eastAsia="Times New Roman"/>
          <w:bCs w:val="0"/>
        </w:rPr>
        <w:t>0.2</w:t>
      </w:r>
      <w:r w:rsidR="00104431" w:rsidRPr="008900A2">
        <w:rPr>
          <w:rFonts w:eastAsia="Times New Roman"/>
          <w:bCs w:val="0"/>
        </w:rPr>
        <w:t>12</w:t>
      </w:r>
      <w:r w:rsidR="00DD010A" w:rsidRPr="008900A2">
        <w:rPr>
          <w:rFonts w:eastAsia="Times New Roman"/>
          <w:bCs w:val="0"/>
        </w:rPr>
        <w:t xml:space="preserve">, </w:t>
      </w:r>
      <w:r w:rsidR="00DD010A" w:rsidRPr="008900A2">
        <w:rPr>
          <w:rFonts w:eastAsia="Times New Roman"/>
          <w:bCs w:val="0"/>
          <w:i/>
          <w:iCs/>
        </w:rPr>
        <w:t>SE =</w:t>
      </w:r>
      <w:r w:rsidR="00DD010A" w:rsidRPr="008900A2">
        <w:rPr>
          <w:rFonts w:eastAsia="Times New Roman"/>
          <w:bCs w:val="0"/>
        </w:rPr>
        <w:t xml:space="preserve"> 0.06</w:t>
      </w:r>
      <w:r w:rsidR="00307267" w:rsidRPr="008900A2">
        <w:rPr>
          <w:rFonts w:eastAsia="Times New Roman"/>
          <w:bCs w:val="0"/>
        </w:rPr>
        <w:t>1</w:t>
      </w:r>
      <w:r w:rsidR="00DD010A" w:rsidRPr="008900A2">
        <w:rPr>
          <w:rFonts w:eastAsia="Times New Roman"/>
          <w:bCs w:val="0"/>
        </w:rPr>
        <w:t xml:space="preserve">, </w:t>
      </w:r>
      <w:r w:rsidR="00DD010A" w:rsidRPr="008900A2">
        <w:rPr>
          <w:rFonts w:eastAsia="Times New Roman"/>
          <w:bCs w:val="0"/>
          <w:i/>
          <w:iCs/>
        </w:rPr>
        <w:t xml:space="preserve">p </w:t>
      </w:r>
      <w:r w:rsidR="00CB29E6" w:rsidRPr="008900A2">
        <w:rPr>
          <w:rFonts w:eastAsia="Times New Roman"/>
          <w:bCs w:val="0"/>
        </w:rPr>
        <w:t>&lt;</w:t>
      </w:r>
      <w:r w:rsidR="00DD010A" w:rsidRPr="008900A2">
        <w:rPr>
          <w:rFonts w:eastAsia="Times New Roman"/>
          <w:bCs w:val="0"/>
        </w:rPr>
        <w:t xml:space="preserve"> .00</w:t>
      </w:r>
      <w:r w:rsidR="00CB29E6" w:rsidRPr="008900A2">
        <w:rPr>
          <w:rFonts w:eastAsia="Times New Roman"/>
          <w:bCs w:val="0"/>
        </w:rPr>
        <w:t>1</w:t>
      </w:r>
      <w:r w:rsidR="00DD010A" w:rsidRPr="008900A2">
        <w:rPr>
          <w:rFonts w:eastAsia="Times New Roman"/>
          <w:bCs w:val="0"/>
        </w:rPr>
        <w:t>) and internalized transphobia (</w:t>
      </w:r>
      <w:r w:rsidR="00DD010A" w:rsidRPr="008900A2">
        <w:rPr>
          <w:rFonts w:eastAsia="Times New Roman"/>
          <w:bCs w:val="0"/>
          <w:i/>
          <w:iCs/>
        </w:rPr>
        <w:t xml:space="preserve">b = </w:t>
      </w:r>
      <w:r w:rsidR="00DD010A" w:rsidRPr="008900A2">
        <w:rPr>
          <w:rFonts w:eastAsia="Times New Roman"/>
          <w:bCs w:val="0"/>
        </w:rPr>
        <w:t>0.</w:t>
      </w:r>
      <w:r w:rsidR="00CB29E6" w:rsidRPr="008900A2">
        <w:rPr>
          <w:rFonts w:eastAsia="Times New Roman"/>
          <w:bCs w:val="0"/>
        </w:rPr>
        <w:t>0</w:t>
      </w:r>
      <w:r w:rsidR="00307267" w:rsidRPr="008900A2">
        <w:rPr>
          <w:rFonts w:eastAsia="Times New Roman"/>
          <w:bCs w:val="0"/>
        </w:rPr>
        <w:t>31</w:t>
      </w:r>
      <w:r w:rsidR="00DD010A" w:rsidRPr="008900A2">
        <w:rPr>
          <w:rFonts w:eastAsia="Times New Roman"/>
          <w:bCs w:val="0"/>
        </w:rPr>
        <w:t xml:space="preserve">, </w:t>
      </w:r>
      <w:r w:rsidR="00DD010A" w:rsidRPr="008900A2">
        <w:rPr>
          <w:rFonts w:eastAsia="Times New Roman"/>
          <w:bCs w:val="0"/>
          <w:i/>
          <w:iCs/>
        </w:rPr>
        <w:t>SE =</w:t>
      </w:r>
      <w:r w:rsidR="00DD010A" w:rsidRPr="008900A2">
        <w:rPr>
          <w:rFonts w:eastAsia="Times New Roman"/>
          <w:bCs w:val="0"/>
        </w:rPr>
        <w:t xml:space="preserve"> 0.0</w:t>
      </w:r>
      <w:r w:rsidR="00CB29E6" w:rsidRPr="008900A2">
        <w:rPr>
          <w:rFonts w:eastAsia="Times New Roman"/>
          <w:bCs w:val="0"/>
        </w:rPr>
        <w:t>14</w:t>
      </w:r>
      <w:r w:rsidR="00DD010A" w:rsidRPr="008900A2">
        <w:rPr>
          <w:rFonts w:eastAsia="Times New Roman"/>
          <w:bCs w:val="0"/>
        </w:rPr>
        <w:t xml:space="preserve">, </w:t>
      </w:r>
      <w:r w:rsidR="00DD010A" w:rsidRPr="008900A2">
        <w:rPr>
          <w:rFonts w:eastAsia="Times New Roman"/>
          <w:bCs w:val="0"/>
          <w:i/>
          <w:iCs/>
        </w:rPr>
        <w:t xml:space="preserve">p </w:t>
      </w:r>
      <w:r w:rsidR="00DD010A" w:rsidRPr="008900A2">
        <w:rPr>
          <w:rFonts w:eastAsia="Times New Roman"/>
          <w:bCs w:val="0"/>
        </w:rPr>
        <w:t>= .0</w:t>
      </w:r>
      <w:r w:rsidR="00AD2F5F" w:rsidRPr="008900A2">
        <w:rPr>
          <w:rFonts w:eastAsia="Times New Roman"/>
          <w:bCs w:val="0"/>
        </w:rPr>
        <w:t>26)</w:t>
      </w:r>
      <w:r w:rsidR="008153C1" w:rsidRPr="008900A2">
        <w:rPr>
          <w:rFonts w:eastAsia="Times New Roman"/>
          <w:bCs w:val="0"/>
        </w:rPr>
        <w:t xml:space="preserve"> significantly predicted </w:t>
      </w:r>
      <w:r w:rsidR="0056732B" w:rsidRPr="008900A2">
        <w:rPr>
          <w:rFonts w:eastAsia="Times New Roman"/>
          <w:bCs w:val="0"/>
        </w:rPr>
        <w:t>suicidal ideation</w:t>
      </w:r>
      <w:r w:rsidR="00F04E80" w:rsidRPr="008900A2">
        <w:rPr>
          <w:rFonts w:eastAsia="Times New Roman"/>
          <w:bCs w:val="0"/>
        </w:rPr>
        <w:t>.</w:t>
      </w:r>
      <w:r w:rsidR="0002132E" w:rsidRPr="008900A2">
        <w:rPr>
          <w:rFonts w:eastAsia="Times New Roman"/>
          <w:bCs w:val="0"/>
        </w:rPr>
        <w:t xml:space="preserve"> The resulting tests of indirect effects between </w:t>
      </w:r>
      <w:r w:rsidR="009127D3" w:rsidRPr="008900A2">
        <w:rPr>
          <w:rFonts w:eastAsia="Times New Roman"/>
          <w:bCs w:val="0"/>
        </w:rPr>
        <w:t xml:space="preserve">urban cluster and urban </w:t>
      </w:r>
      <w:r w:rsidR="00937C9F" w:rsidRPr="008900A2">
        <w:rPr>
          <w:rFonts w:eastAsia="Times New Roman"/>
          <w:bCs w:val="0"/>
        </w:rPr>
        <w:t>residents</w:t>
      </w:r>
      <w:r w:rsidR="0002132E" w:rsidRPr="008900A2">
        <w:rPr>
          <w:rFonts w:eastAsia="Times New Roman"/>
          <w:bCs w:val="0"/>
        </w:rPr>
        <w:t xml:space="preserve"> and </w:t>
      </w:r>
      <w:r w:rsidR="00EC7CE6" w:rsidRPr="008900A2">
        <w:rPr>
          <w:rFonts w:eastAsia="Times New Roman"/>
          <w:bCs w:val="0"/>
        </w:rPr>
        <w:t xml:space="preserve">suicidal ideation </w:t>
      </w:r>
      <w:r w:rsidR="0002132E" w:rsidRPr="008900A2">
        <w:rPr>
          <w:rFonts w:eastAsia="Times New Roman"/>
          <w:bCs w:val="0"/>
        </w:rPr>
        <w:t xml:space="preserve">through one marginalization stressor (e.g., either distal or proximal) were significant: </w:t>
      </w:r>
      <w:r w:rsidR="00C130D2" w:rsidRPr="008900A2">
        <w:rPr>
          <w:rFonts w:eastAsia="Times New Roman"/>
          <w:bCs w:val="0"/>
        </w:rPr>
        <w:t xml:space="preserve">discrimination </w:t>
      </w:r>
      <w:r w:rsidR="00FD2ECA" w:rsidRPr="008900A2">
        <w:rPr>
          <w:rFonts w:eastAsia="Times New Roman"/>
          <w:bCs w:val="0"/>
        </w:rPr>
        <w:t>(</w:t>
      </w:r>
      <w:r w:rsidR="00FD2ECA" w:rsidRPr="008900A2">
        <w:rPr>
          <w:rFonts w:eastAsia="Times New Roman"/>
          <w:bCs w:val="0"/>
          <w:i/>
          <w:iCs/>
        </w:rPr>
        <w:t>b</w:t>
      </w:r>
      <w:r w:rsidR="00FD2ECA" w:rsidRPr="008900A2">
        <w:rPr>
          <w:rFonts w:eastAsia="Times New Roman"/>
          <w:bCs w:val="0"/>
        </w:rPr>
        <w:t xml:space="preserve"> = 0.</w:t>
      </w:r>
      <w:r w:rsidR="00EF517D" w:rsidRPr="008900A2">
        <w:rPr>
          <w:rFonts w:eastAsia="Times New Roman"/>
          <w:bCs w:val="0"/>
        </w:rPr>
        <w:t>1</w:t>
      </w:r>
      <w:r w:rsidR="003D4180" w:rsidRPr="008900A2">
        <w:rPr>
          <w:rFonts w:eastAsia="Times New Roman"/>
          <w:bCs w:val="0"/>
        </w:rPr>
        <w:t>3</w:t>
      </w:r>
      <w:r w:rsidR="00EF517D" w:rsidRPr="008900A2">
        <w:rPr>
          <w:rFonts w:eastAsia="Times New Roman"/>
          <w:bCs w:val="0"/>
        </w:rPr>
        <w:t>4</w:t>
      </w:r>
      <w:r w:rsidR="00FD2ECA" w:rsidRPr="008900A2">
        <w:rPr>
          <w:rFonts w:eastAsia="Times New Roman"/>
          <w:bCs w:val="0"/>
        </w:rPr>
        <w:t>, 95% CI [0.0</w:t>
      </w:r>
      <w:r w:rsidR="003D4180" w:rsidRPr="008900A2">
        <w:rPr>
          <w:rFonts w:eastAsia="Times New Roman"/>
          <w:bCs w:val="0"/>
        </w:rPr>
        <w:t>30</w:t>
      </w:r>
      <w:r w:rsidR="00FD2ECA" w:rsidRPr="008900A2">
        <w:rPr>
          <w:rFonts w:eastAsia="Times New Roman"/>
          <w:bCs w:val="0"/>
        </w:rPr>
        <w:t>, 0.</w:t>
      </w:r>
      <w:r w:rsidR="003D4180" w:rsidRPr="008900A2">
        <w:rPr>
          <w:rFonts w:eastAsia="Times New Roman"/>
          <w:bCs w:val="0"/>
        </w:rPr>
        <w:t>310</w:t>
      </w:r>
      <w:r w:rsidR="00FD2ECA" w:rsidRPr="008900A2">
        <w:rPr>
          <w:rFonts w:eastAsia="Times New Roman"/>
          <w:bCs w:val="0"/>
        </w:rPr>
        <w:t xml:space="preserve">]). </w:t>
      </w:r>
      <w:r w:rsidR="00937C9F" w:rsidRPr="008900A2">
        <w:rPr>
          <w:rFonts w:eastAsia="Times New Roman"/>
          <w:bCs w:val="0"/>
        </w:rPr>
        <w:t>There w</w:t>
      </w:r>
      <w:r w:rsidR="00207BE8" w:rsidRPr="008900A2">
        <w:rPr>
          <w:rFonts w:eastAsia="Times New Roman"/>
          <w:bCs w:val="0"/>
        </w:rPr>
        <w:t>as</w:t>
      </w:r>
      <w:r w:rsidR="00937C9F" w:rsidRPr="008900A2">
        <w:rPr>
          <w:rFonts w:eastAsia="Times New Roman"/>
          <w:bCs w:val="0"/>
        </w:rPr>
        <w:t xml:space="preserve"> also </w:t>
      </w:r>
      <w:r w:rsidR="00207BE8" w:rsidRPr="008900A2">
        <w:rPr>
          <w:rFonts w:eastAsia="Times New Roman"/>
          <w:bCs w:val="0"/>
        </w:rPr>
        <w:t xml:space="preserve">a </w:t>
      </w:r>
      <w:r w:rsidR="00937C9F" w:rsidRPr="008900A2">
        <w:rPr>
          <w:rFonts w:eastAsia="Times New Roman"/>
          <w:bCs w:val="0"/>
        </w:rPr>
        <w:t xml:space="preserve">significant indirect effect between two marginalization stressors (e.g., distal predicting proximal) and </w:t>
      </w:r>
      <w:r w:rsidR="00EC7CE6" w:rsidRPr="008900A2">
        <w:rPr>
          <w:rFonts w:eastAsia="Times New Roman"/>
          <w:bCs w:val="0"/>
        </w:rPr>
        <w:t>suicidal ideation</w:t>
      </w:r>
      <w:r w:rsidR="00856069" w:rsidRPr="008900A2">
        <w:rPr>
          <w:rFonts w:eastAsia="Times New Roman"/>
          <w:bCs w:val="0"/>
        </w:rPr>
        <w:t xml:space="preserve"> through non-affirmation and internalize</w:t>
      </w:r>
      <w:r w:rsidR="00F9057E" w:rsidRPr="008900A2">
        <w:rPr>
          <w:rFonts w:eastAsia="Times New Roman"/>
          <w:bCs w:val="0"/>
        </w:rPr>
        <w:t>d</w:t>
      </w:r>
      <w:r w:rsidR="00856069" w:rsidRPr="008900A2">
        <w:rPr>
          <w:rFonts w:eastAsia="Times New Roman"/>
          <w:bCs w:val="0"/>
        </w:rPr>
        <w:t xml:space="preserve"> transphobia (</w:t>
      </w:r>
      <w:r w:rsidR="00856069" w:rsidRPr="008900A2">
        <w:rPr>
          <w:rFonts w:eastAsia="Times New Roman"/>
          <w:bCs w:val="0"/>
          <w:i/>
          <w:iCs/>
        </w:rPr>
        <w:t>b</w:t>
      </w:r>
      <w:r w:rsidR="00856069" w:rsidRPr="008900A2">
        <w:rPr>
          <w:rFonts w:eastAsia="Times New Roman"/>
          <w:bCs w:val="0"/>
        </w:rPr>
        <w:t xml:space="preserve"> = </w:t>
      </w:r>
      <w:r w:rsidR="00460518" w:rsidRPr="008900A2">
        <w:rPr>
          <w:rFonts w:eastAsia="Times New Roman"/>
          <w:bCs w:val="0"/>
        </w:rPr>
        <w:t xml:space="preserve">- </w:t>
      </w:r>
      <w:r w:rsidR="00856069" w:rsidRPr="008900A2">
        <w:rPr>
          <w:rFonts w:eastAsia="Times New Roman"/>
          <w:bCs w:val="0"/>
        </w:rPr>
        <w:t>0.</w:t>
      </w:r>
      <w:r w:rsidR="00E43D1F" w:rsidRPr="008900A2">
        <w:rPr>
          <w:rFonts w:eastAsia="Times New Roman"/>
          <w:bCs w:val="0"/>
        </w:rPr>
        <w:t>18</w:t>
      </w:r>
      <w:r w:rsidR="00856069" w:rsidRPr="008900A2">
        <w:rPr>
          <w:rFonts w:eastAsia="Times New Roman"/>
          <w:bCs w:val="0"/>
        </w:rPr>
        <w:t>, 95% CI [</w:t>
      </w:r>
      <w:r w:rsidR="00E43D1F" w:rsidRPr="008900A2">
        <w:rPr>
          <w:rFonts w:eastAsia="Times New Roman"/>
          <w:bCs w:val="0"/>
        </w:rPr>
        <w:t>0</w:t>
      </w:r>
      <w:r w:rsidR="00371CD8" w:rsidRPr="008900A2">
        <w:rPr>
          <w:rFonts w:eastAsia="Times New Roman"/>
          <w:bCs w:val="0"/>
        </w:rPr>
        <w:t>.</w:t>
      </w:r>
      <w:r w:rsidR="00E43D1F" w:rsidRPr="008900A2">
        <w:rPr>
          <w:rFonts w:eastAsia="Times New Roman"/>
          <w:bCs w:val="0"/>
        </w:rPr>
        <w:t>0</w:t>
      </w:r>
      <w:r w:rsidR="001378C8" w:rsidRPr="008900A2">
        <w:rPr>
          <w:rFonts w:eastAsia="Times New Roman"/>
          <w:bCs w:val="0"/>
        </w:rPr>
        <w:t>01</w:t>
      </w:r>
      <w:r w:rsidR="00856069" w:rsidRPr="008900A2">
        <w:rPr>
          <w:rFonts w:eastAsia="Times New Roman"/>
          <w:bCs w:val="0"/>
        </w:rPr>
        <w:t xml:space="preserve">, </w:t>
      </w:r>
      <w:r w:rsidR="00E43D1F" w:rsidRPr="008900A2">
        <w:rPr>
          <w:rFonts w:eastAsia="Times New Roman"/>
          <w:bCs w:val="0"/>
        </w:rPr>
        <w:t>0/063</w:t>
      </w:r>
      <w:r w:rsidR="00856069" w:rsidRPr="008900A2">
        <w:rPr>
          <w:rFonts w:eastAsia="Times New Roman"/>
          <w:bCs w:val="0"/>
        </w:rPr>
        <w:t>])</w:t>
      </w:r>
      <w:r w:rsidR="00460518" w:rsidRPr="008900A2">
        <w:rPr>
          <w:rFonts w:eastAsia="Times New Roman"/>
          <w:bCs w:val="0"/>
        </w:rPr>
        <w:t xml:space="preserve">. </w:t>
      </w:r>
    </w:p>
    <w:p w14:paraId="67C1947C" w14:textId="2858D0C1" w:rsidR="00B90C80" w:rsidRPr="008900A2" w:rsidRDefault="00B90C80" w:rsidP="00CA6539">
      <w:pPr>
        <w:spacing w:after="0" w:line="480" w:lineRule="auto"/>
        <w:ind w:firstLine="720"/>
        <w:rPr>
          <w:rFonts w:eastAsia="Times New Roman"/>
          <w:bCs w:val="0"/>
        </w:rPr>
      </w:pPr>
      <w:r w:rsidRPr="008900A2">
        <w:rPr>
          <w:rFonts w:eastAsia="Times New Roman"/>
          <w:bCs w:val="0"/>
        </w:rPr>
        <w:t>Regarding differences between rural and urban residents, there was a significant indirect effect on suicidal ideation through discrimination (</w:t>
      </w:r>
      <w:r w:rsidRPr="008900A2">
        <w:rPr>
          <w:rFonts w:eastAsia="Times New Roman"/>
          <w:bCs w:val="0"/>
          <w:i/>
          <w:iCs/>
        </w:rPr>
        <w:t>b</w:t>
      </w:r>
      <w:r w:rsidRPr="008900A2">
        <w:rPr>
          <w:rFonts w:eastAsia="Times New Roman"/>
          <w:bCs w:val="0"/>
        </w:rPr>
        <w:t xml:space="preserve"> = 0.</w:t>
      </w:r>
      <w:r w:rsidR="00EC7CE6" w:rsidRPr="008900A2">
        <w:rPr>
          <w:rFonts w:eastAsia="Times New Roman"/>
          <w:bCs w:val="0"/>
        </w:rPr>
        <w:t>174</w:t>
      </w:r>
      <w:r w:rsidRPr="008900A2">
        <w:rPr>
          <w:rFonts w:eastAsia="Times New Roman"/>
          <w:bCs w:val="0"/>
        </w:rPr>
        <w:t>, 95% CI [0.0</w:t>
      </w:r>
      <w:r w:rsidR="00EC7CE6" w:rsidRPr="008900A2">
        <w:rPr>
          <w:rFonts w:eastAsia="Times New Roman"/>
          <w:bCs w:val="0"/>
        </w:rPr>
        <w:t>16</w:t>
      </w:r>
      <w:r w:rsidRPr="008900A2">
        <w:rPr>
          <w:rFonts w:eastAsia="Times New Roman"/>
          <w:bCs w:val="0"/>
        </w:rPr>
        <w:t>,1.</w:t>
      </w:r>
      <w:r w:rsidR="00EC7CE6" w:rsidRPr="008900A2">
        <w:rPr>
          <w:rFonts w:eastAsia="Times New Roman"/>
          <w:bCs w:val="0"/>
        </w:rPr>
        <w:t>420</w:t>
      </w:r>
      <w:r w:rsidRPr="008900A2">
        <w:rPr>
          <w:rFonts w:eastAsia="Times New Roman"/>
          <w:bCs w:val="0"/>
        </w:rPr>
        <w:t>]). There w</w:t>
      </w:r>
      <w:r w:rsidR="0056621F" w:rsidRPr="008900A2">
        <w:rPr>
          <w:rFonts w:eastAsia="Times New Roman"/>
          <w:bCs w:val="0"/>
        </w:rPr>
        <w:t>as</w:t>
      </w:r>
      <w:r w:rsidRPr="008900A2">
        <w:rPr>
          <w:rFonts w:eastAsia="Times New Roman"/>
          <w:bCs w:val="0"/>
        </w:rPr>
        <w:t xml:space="preserve"> also </w:t>
      </w:r>
      <w:r w:rsidR="0056621F" w:rsidRPr="008900A2">
        <w:rPr>
          <w:rFonts w:eastAsia="Times New Roman"/>
          <w:bCs w:val="0"/>
        </w:rPr>
        <w:t xml:space="preserve">a </w:t>
      </w:r>
      <w:r w:rsidRPr="008900A2">
        <w:rPr>
          <w:rFonts w:eastAsia="Times New Roman"/>
          <w:bCs w:val="0"/>
        </w:rPr>
        <w:t xml:space="preserve">significant indirect effect between two marginalization stressors (e.g., distal predicting proximal) and </w:t>
      </w:r>
      <w:r w:rsidR="00C849DF" w:rsidRPr="008900A2">
        <w:rPr>
          <w:rFonts w:eastAsia="Times New Roman"/>
          <w:bCs w:val="0"/>
        </w:rPr>
        <w:t>suicidal ideatio</w:t>
      </w:r>
      <w:r w:rsidRPr="008900A2">
        <w:rPr>
          <w:rFonts w:eastAsia="Times New Roman"/>
          <w:bCs w:val="0"/>
        </w:rPr>
        <w:t xml:space="preserve">n through non-affirmation and </w:t>
      </w:r>
      <w:r w:rsidR="00C849DF" w:rsidRPr="008900A2">
        <w:rPr>
          <w:rFonts w:eastAsia="Times New Roman"/>
          <w:bCs w:val="0"/>
        </w:rPr>
        <w:t>internalized transphobia</w:t>
      </w:r>
      <w:r w:rsidRPr="008900A2">
        <w:rPr>
          <w:rFonts w:eastAsia="Times New Roman"/>
          <w:bCs w:val="0"/>
        </w:rPr>
        <w:t xml:space="preserve"> </w:t>
      </w:r>
      <w:r w:rsidRPr="008900A2">
        <w:rPr>
          <w:rFonts w:eastAsia="Times New Roman"/>
          <w:bCs w:val="0"/>
          <w:i/>
          <w:iCs/>
        </w:rPr>
        <w:t>(b</w:t>
      </w:r>
      <w:r w:rsidRPr="008900A2">
        <w:rPr>
          <w:rFonts w:eastAsia="Times New Roman"/>
          <w:bCs w:val="0"/>
        </w:rPr>
        <w:t xml:space="preserve"> = </w:t>
      </w:r>
      <w:r w:rsidR="00C849DF" w:rsidRPr="008900A2">
        <w:rPr>
          <w:rFonts w:eastAsia="Times New Roman"/>
          <w:bCs w:val="0"/>
        </w:rPr>
        <w:t>0.028</w:t>
      </w:r>
      <w:r w:rsidRPr="008900A2">
        <w:rPr>
          <w:rFonts w:eastAsia="Times New Roman"/>
          <w:bCs w:val="0"/>
        </w:rPr>
        <w:t>, 95% CI [-0.</w:t>
      </w:r>
      <w:r w:rsidR="0056621F" w:rsidRPr="008900A2">
        <w:rPr>
          <w:rFonts w:eastAsia="Times New Roman"/>
          <w:bCs w:val="0"/>
        </w:rPr>
        <w:t>101</w:t>
      </w:r>
      <w:r w:rsidRPr="008900A2">
        <w:rPr>
          <w:rFonts w:eastAsia="Times New Roman"/>
          <w:bCs w:val="0"/>
        </w:rPr>
        <w:t>, -0.</w:t>
      </w:r>
      <w:r w:rsidR="0056621F" w:rsidRPr="008900A2">
        <w:rPr>
          <w:rFonts w:eastAsia="Times New Roman"/>
          <w:bCs w:val="0"/>
        </w:rPr>
        <w:t>003</w:t>
      </w:r>
      <w:r w:rsidRPr="008900A2">
        <w:rPr>
          <w:rFonts w:eastAsia="Times New Roman"/>
          <w:bCs w:val="0"/>
        </w:rPr>
        <w:t>])</w:t>
      </w:r>
      <w:r w:rsidR="0056621F" w:rsidRPr="008900A2">
        <w:rPr>
          <w:rFonts w:eastAsia="Times New Roman"/>
          <w:bCs w:val="0"/>
        </w:rPr>
        <w:t>.</w:t>
      </w:r>
    </w:p>
    <w:p w14:paraId="13C08C74" w14:textId="02C874FC" w:rsidR="002C0577" w:rsidRPr="008900A2" w:rsidRDefault="00F04E80" w:rsidP="008A147B">
      <w:pPr>
        <w:spacing w:after="0" w:line="480" w:lineRule="auto"/>
        <w:rPr>
          <w:rFonts w:eastAsia="Times New Roman"/>
          <w:bCs w:val="0"/>
        </w:rPr>
      </w:pPr>
      <w:r w:rsidRPr="008900A2">
        <w:rPr>
          <w:rFonts w:eastAsia="Times New Roman"/>
          <w:bCs w:val="0"/>
        </w:rPr>
        <w:tab/>
      </w:r>
      <w:r w:rsidRPr="008900A2">
        <w:rPr>
          <w:rFonts w:eastAsia="Times New Roman"/>
          <w:b/>
          <w:i/>
          <w:iCs/>
        </w:rPr>
        <w:t>Anxiety.</w:t>
      </w:r>
      <w:r w:rsidRPr="008900A2">
        <w:rPr>
          <w:rFonts w:eastAsia="Times New Roman"/>
          <w:bCs w:val="0"/>
        </w:rPr>
        <w:t xml:space="preserve"> </w:t>
      </w:r>
      <w:r w:rsidR="00106B09" w:rsidRPr="008900A2">
        <w:rPr>
          <w:rFonts w:eastAsia="Times New Roman"/>
          <w:bCs w:val="0"/>
        </w:rPr>
        <w:t>Among marginalization stress variables</w:t>
      </w:r>
      <w:r w:rsidR="00541C82" w:rsidRPr="008900A2">
        <w:rPr>
          <w:rFonts w:eastAsia="Times New Roman"/>
          <w:bCs w:val="0"/>
        </w:rPr>
        <w:t>,</w:t>
      </w:r>
      <w:r w:rsidR="00106B09" w:rsidRPr="008900A2">
        <w:rPr>
          <w:rFonts w:eastAsia="Times New Roman"/>
          <w:bCs w:val="0"/>
        </w:rPr>
        <w:t xml:space="preserve"> only</w:t>
      </w:r>
      <w:r w:rsidR="00541C82" w:rsidRPr="008900A2">
        <w:rPr>
          <w:rFonts w:eastAsia="Times New Roman"/>
          <w:bCs w:val="0"/>
        </w:rPr>
        <w:t xml:space="preserve"> </w:t>
      </w:r>
      <w:r w:rsidRPr="008900A2">
        <w:rPr>
          <w:rFonts w:eastAsia="Times New Roman"/>
          <w:bCs w:val="0"/>
        </w:rPr>
        <w:t>rumination</w:t>
      </w:r>
      <w:r w:rsidR="004836BE" w:rsidRPr="008900A2">
        <w:rPr>
          <w:rFonts w:eastAsia="Times New Roman"/>
          <w:bCs w:val="0"/>
        </w:rPr>
        <w:t xml:space="preserve"> (</w:t>
      </w:r>
      <w:r w:rsidR="004836BE" w:rsidRPr="008900A2">
        <w:rPr>
          <w:rFonts w:eastAsia="Times New Roman"/>
          <w:bCs w:val="0"/>
          <w:i/>
          <w:iCs/>
        </w:rPr>
        <w:t xml:space="preserve">b </w:t>
      </w:r>
      <w:r w:rsidR="004836BE" w:rsidRPr="008900A2">
        <w:rPr>
          <w:rFonts w:eastAsia="Times New Roman"/>
          <w:bCs w:val="0"/>
        </w:rPr>
        <w:t xml:space="preserve">= </w:t>
      </w:r>
      <w:r w:rsidR="006379D6" w:rsidRPr="008900A2">
        <w:rPr>
          <w:rFonts w:eastAsia="Times New Roman"/>
          <w:bCs w:val="0"/>
        </w:rPr>
        <w:t>0</w:t>
      </w:r>
      <w:r w:rsidR="004836BE" w:rsidRPr="008900A2">
        <w:rPr>
          <w:rFonts w:eastAsia="Times New Roman"/>
          <w:bCs w:val="0"/>
        </w:rPr>
        <w:t>.</w:t>
      </w:r>
      <w:r w:rsidR="002020E8" w:rsidRPr="008900A2">
        <w:rPr>
          <w:rFonts w:eastAsia="Times New Roman"/>
          <w:bCs w:val="0"/>
        </w:rPr>
        <w:t>20</w:t>
      </w:r>
      <w:r w:rsidR="004836BE" w:rsidRPr="008900A2">
        <w:rPr>
          <w:rFonts w:eastAsia="Times New Roman"/>
          <w:bCs w:val="0"/>
        </w:rPr>
        <w:t xml:space="preserve">, </w:t>
      </w:r>
      <w:r w:rsidR="004836BE" w:rsidRPr="008900A2">
        <w:rPr>
          <w:rFonts w:eastAsia="Times New Roman"/>
          <w:bCs w:val="0"/>
          <w:i/>
          <w:iCs/>
        </w:rPr>
        <w:t xml:space="preserve">SE = </w:t>
      </w:r>
      <w:r w:rsidR="006379D6" w:rsidRPr="008900A2">
        <w:rPr>
          <w:rFonts w:eastAsia="Times New Roman"/>
          <w:bCs w:val="0"/>
        </w:rPr>
        <w:t>0</w:t>
      </w:r>
      <w:r w:rsidR="004836BE" w:rsidRPr="008900A2">
        <w:rPr>
          <w:rFonts w:eastAsia="Times New Roman"/>
          <w:bCs w:val="0"/>
        </w:rPr>
        <w:t>.0</w:t>
      </w:r>
      <w:r w:rsidR="00CB29E6" w:rsidRPr="008900A2">
        <w:rPr>
          <w:rFonts w:eastAsia="Times New Roman"/>
          <w:bCs w:val="0"/>
        </w:rPr>
        <w:t>9</w:t>
      </w:r>
      <w:r w:rsidR="002D35B9" w:rsidRPr="008900A2">
        <w:rPr>
          <w:rFonts w:eastAsia="Times New Roman"/>
          <w:bCs w:val="0"/>
        </w:rPr>
        <w:t>5</w:t>
      </w:r>
      <w:r w:rsidR="004836BE" w:rsidRPr="008900A2">
        <w:rPr>
          <w:rFonts w:eastAsia="Times New Roman"/>
          <w:bCs w:val="0"/>
        </w:rPr>
        <w:t xml:space="preserve">, </w:t>
      </w:r>
      <w:r w:rsidR="004836BE" w:rsidRPr="008900A2">
        <w:rPr>
          <w:rFonts w:eastAsia="Times New Roman"/>
          <w:bCs w:val="0"/>
          <w:i/>
          <w:iCs/>
        </w:rPr>
        <w:t xml:space="preserve">p </w:t>
      </w:r>
      <w:r w:rsidR="004836BE" w:rsidRPr="008900A2">
        <w:rPr>
          <w:rFonts w:eastAsia="Times New Roman"/>
          <w:bCs w:val="0"/>
        </w:rPr>
        <w:t>= .001)</w:t>
      </w:r>
      <w:r w:rsidR="00A90528" w:rsidRPr="008900A2">
        <w:rPr>
          <w:rFonts w:eastAsia="Times New Roman"/>
          <w:bCs w:val="0"/>
        </w:rPr>
        <w:t xml:space="preserve"> and </w:t>
      </w:r>
      <w:r w:rsidRPr="008900A2">
        <w:rPr>
          <w:rFonts w:eastAsia="Times New Roman"/>
          <w:bCs w:val="0"/>
        </w:rPr>
        <w:t>negative</w:t>
      </w:r>
      <w:r w:rsidR="004836BE" w:rsidRPr="008900A2">
        <w:rPr>
          <w:rFonts w:eastAsia="Times New Roman"/>
          <w:bCs w:val="0"/>
        </w:rPr>
        <w:t xml:space="preserve"> expectations (</w:t>
      </w:r>
      <w:r w:rsidR="004836BE" w:rsidRPr="008900A2">
        <w:rPr>
          <w:rFonts w:eastAsia="Times New Roman"/>
          <w:bCs w:val="0"/>
          <w:i/>
          <w:iCs/>
        </w:rPr>
        <w:t xml:space="preserve">b </w:t>
      </w:r>
      <w:r w:rsidR="004836BE" w:rsidRPr="008900A2">
        <w:rPr>
          <w:rFonts w:eastAsia="Times New Roman"/>
          <w:bCs w:val="0"/>
        </w:rPr>
        <w:t xml:space="preserve">= </w:t>
      </w:r>
      <w:r w:rsidR="006379D6" w:rsidRPr="008900A2">
        <w:rPr>
          <w:rFonts w:eastAsia="Times New Roman"/>
          <w:bCs w:val="0"/>
        </w:rPr>
        <w:t>0</w:t>
      </w:r>
      <w:r w:rsidR="004836BE" w:rsidRPr="008900A2">
        <w:rPr>
          <w:rFonts w:eastAsia="Times New Roman"/>
          <w:bCs w:val="0"/>
        </w:rPr>
        <w:t>.</w:t>
      </w:r>
      <w:r w:rsidR="00CB29E6" w:rsidRPr="008900A2">
        <w:rPr>
          <w:rFonts w:eastAsia="Times New Roman"/>
          <w:bCs w:val="0"/>
        </w:rPr>
        <w:t>2</w:t>
      </w:r>
      <w:r w:rsidR="00A90528" w:rsidRPr="008900A2">
        <w:rPr>
          <w:rFonts w:eastAsia="Times New Roman"/>
          <w:bCs w:val="0"/>
        </w:rPr>
        <w:t>09</w:t>
      </w:r>
      <w:r w:rsidR="004836BE" w:rsidRPr="008900A2">
        <w:rPr>
          <w:rFonts w:eastAsia="Times New Roman"/>
          <w:bCs w:val="0"/>
        </w:rPr>
        <w:t xml:space="preserve">, </w:t>
      </w:r>
      <w:r w:rsidR="004836BE" w:rsidRPr="008900A2">
        <w:rPr>
          <w:rFonts w:eastAsia="Times New Roman"/>
          <w:bCs w:val="0"/>
          <w:i/>
          <w:iCs/>
        </w:rPr>
        <w:t xml:space="preserve">SE = </w:t>
      </w:r>
      <w:r w:rsidR="006379D6" w:rsidRPr="008900A2">
        <w:rPr>
          <w:rFonts w:eastAsia="Times New Roman"/>
          <w:bCs w:val="0"/>
        </w:rPr>
        <w:t>0</w:t>
      </w:r>
      <w:r w:rsidR="004836BE" w:rsidRPr="008900A2">
        <w:rPr>
          <w:rFonts w:eastAsia="Times New Roman"/>
          <w:bCs w:val="0"/>
        </w:rPr>
        <w:t>.0</w:t>
      </w:r>
      <w:r w:rsidR="002D35B9" w:rsidRPr="008900A2">
        <w:rPr>
          <w:rFonts w:eastAsia="Times New Roman"/>
          <w:bCs w:val="0"/>
        </w:rPr>
        <w:t>57</w:t>
      </w:r>
      <w:r w:rsidR="004836BE" w:rsidRPr="008900A2">
        <w:rPr>
          <w:rFonts w:eastAsia="Times New Roman"/>
          <w:bCs w:val="0"/>
        </w:rPr>
        <w:t xml:space="preserve">, </w:t>
      </w:r>
      <w:r w:rsidR="004836BE" w:rsidRPr="008900A2">
        <w:rPr>
          <w:rFonts w:eastAsia="Times New Roman"/>
          <w:bCs w:val="0"/>
          <w:i/>
          <w:iCs/>
        </w:rPr>
        <w:t xml:space="preserve">p </w:t>
      </w:r>
      <w:r w:rsidR="002D35B9" w:rsidRPr="008900A2">
        <w:rPr>
          <w:rFonts w:eastAsia="Times New Roman"/>
          <w:bCs w:val="0"/>
        </w:rPr>
        <w:t>&lt;</w:t>
      </w:r>
      <w:r w:rsidR="004836BE" w:rsidRPr="008900A2">
        <w:rPr>
          <w:rFonts w:eastAsia="Times New Roman"/>
          <w:bCs w:val="0"/>
        </w:rPr>
        <w:t xml:space="preserve"> .00</w:t>
      </w:r>
      <w:r w:rsidR="00DC6DE4" w:rsidRPr="008900A2">
        <w:rPr>
          <w:rFonts w:eastAsia="Times New Roman"/>
          <w:bCs w:val="0"/>
        </w:rPr>
        <w:t>1</w:t>
      </w:r>
      <w:r w:rsidR="004836BE" w:rsidRPr="008900A2">
        <w:rPr>
          <w:rFonts w:eastAsia="Times New Roman"/>
          <w:bCs w:val="0"/>
        </w:rPr>
        <w:t>)</w:t>
      </w:r>
      <w:r w:rsidR="00A90528" w:rsidRPr="008900A2">
        <w:rPr>
          <w:rFonts w:eastAsia="Times New Roman"/>
          <w:bCs w:val="0"/>
        </w:rPr>
        <w:t xml:space="preserve"> </w:t>
      </w:r>
      <w:r w:rsidR="00541C82" w:rsidRPr="008900A2">
        <w:rPr>
          <w:rFonts w:eastAsia="Times New Roman"/>
          <w:bCs w:val="0"/>
        </w:rPr>
        <w:t>significantly predicted anxiety</w:t>
      </w:r>
      <w:r w:rsidRPr="008900A2">
        <w:rPr>
          <w:rFonts w:eastAsia="Times New Roman"/>
          <w:bCs w:val="0"/>
        </w:rPr>
        <w:t>.</w:t>
      </w:r>
      <w:r w:rsidR="00353EC9" w:rsidRPr="008900A2">
        <w:rPr>
          <w:rFonts w:eastAsia="Times New Roman"/>
          <w:bCs w:val="0"/>
        </w:rPr>
        <w:t xml:space="preserve"> </w:t>
      </w:r>
      <w:r w:rsidR="00A47B9B" w:rsidRPr="008900A2">
        <w:rPr>
          <w:rFonts w:eastAsia="Times New Roman"/>
          <w:bCs w:val="0"/>
        </w:rPr>
        <w:t xml:space="preserve">The resulting tests of indirect effects between area and </w:t>
      </w:r>
      <w:r w:rsidR="004C67EC" w:rsidRPr="008900A2">
        <w:rPr>
          <w:rFonts w:eastAsia="Times New Roman"/>
          <w:bCs w:val="0"/>
        </w:rPr>
        <w:t xml:space="preserve">anxiety </w:t>
      </w:r>
      <w:r w:rsidR="00A47B9B" w:rsidRPr="008900A2">
        <w:rPr>
          <w:rFonts w:eastAsia="Times New Roman"/>
          <w:bCs w:val="0"/>
        </w:rPr>
        <w:t>through one marginalization stressor (e.g., either distal or proximal) were significant</w:t>
      </w:r>
      <w:r w:rsidR="009F2C5C" w:rsidRPr="008900A2">
        <w:rPr>
          <w:rFonts w:eastAsia="Times New Roman"/>
          <w:bCs w:val="0"/>
        </w:rPr>
        <w:t>:</w:t>
      </w:r>
      <w:r w:rsidR="00980EAE" w:rsidRPr="008900A2">
        <w:rPr>
          <w:rFonts w:eastAsia="Times New Roman"/>
          <w:bCs w:val="0"/>
        </w:rPr>
        <w:t xml:space="preserve"> </w:t>
      </w:r>
      <w:r w:rsidR="00541C82" w:rsidRPr="008900A2">
        <w:rPr>
          <w:rFonts w:eastAsia="Times New Roman"/>
          <w:bCs w:val="0"/>
        </w:rPr>
        <w:t>urban</w:t>
      </w:r>
      <w:r w:rsidR="009F2C5C" w:rsidRPr="008900A2">
        <w:rPr>
          <w:rFonts w:eastAsia="Times New Roman"/>
          <w:bCs w:val="0"/>
        </w:rPr>
        <w:t xml:space="preserve"> cluster and urban differences </w:t>
      </w:r>
      <w:r w:rsidR="00A8599C" w:rsidRPr="008900A2">
        <w:rPr>
          <w:rFonts w:eastAsia="Times New Roman"/>
          <w:bCs w:val="0"/>
        </w:rPr>
        <w:t>accounted for by</w:t>
      </w:r>
      <w:r w:rsidR="00980EAE" w:rsidRPr="008900A2">
        <w:rPr>
          <w:rFonts w:eastAsia="Times New Roman"/>
          <w:bCs w:val="0"/>
        </w:rPr>
        <w:t xml:space="preserve"> rumination</w:t>
      </w:r>
      <w:r w:rsidR="00DC6DE4" w:rsidRPr="008900A2">
        <w:rPr>
          <w:rFonts w:eastAsia="Times New Roman"/>
          <w:bCs w:val="0"/>
        </w:rPr>
        <w:t xml:space="preserve"> (</w:t>
      </w:r>
      <w:r w:rsidR="00DC6DE4" w:rsidRPr="008900A2">
        <w:rPr>
          <w:rFonts w:eastAsia="Times New Roman"/>
          <w:bCs w:val="0"/>
          <w:i/>
          <w:iCs/>
        </w:rPr>
        <w:t>b =</w:t>
      </w:r>
      <w:r w:rsidR="00DC6DE4" w:rsidRPr="008900A2">
        <w:rPr>
          <w:rFonts w:eastAsia="Times New Roman"/>
          <w:bCs w:val="0"/>
        </w:rPr>
        <w:t xml:space="preserve"> 0.</w:t>
      </w:r>
      <w:r w:rsidR="001E4778" w:rsidRPr="008900A2">
        <w:rPr>
          <w:rFonts w:eastAsia="Times New Roman"/>
          <w:bCs w:val="0"/>
        </w:rPr>
        <w:t>283</w:t>
      </w:r>
      <w:r w:rsidR="00DC6DE4" w:rsidRPr="008900A2">
        <w:rPr>
          <w:rFonts w:eastAsia="Times New Roman"/>
          <w:bCs w:val="0"/>
        </w:rPr>
        <w:t xml:space="preserve"> 95% CI [0.0</w:t>
      </w:r>
      <w:r w:rsidR="003E4823" w:rsidRPr="008900A2">
        <w:rPr>
          <w:rFonts w:eastAsia="Times New Roman"/>
          <w:bCs w:val="0"/>
        </w:rPr>
        <w:t>1</w:t>
      </w:r>
      <w:r w:rsidR="001E4778" w:rsidRPr="008900A2">
        <w:rPr>
          <w:rFonts w:eastAsia="Times New Roman"/>
          <w:bCs w:val="0"/>
        </w:rPr>
        <w:t>7</w:t>
      </w:r>
      <w:r w:rsidR="00DC6DE4" w:rsidRPr="008900A2">
        <w:rPr>
          <w:rFonts w:eastAsia="Times New Roman"/>
          <w:bCs w:val="0"/>
        </w:rPr>
        <w:t>, 0.</w:t>
      </w:r>
      <w:r w:rsidR="000F3727" w:rsidRPr="008900A2">
        <w:rPr>
          <w:rFonts w:eastAsia="Times New Roman"/>
          <w:bCs w:val="0"/>
        </w:rPr>
        <w:t>7</w:t>
      </w:r>
      <w:r w:rsidR="001E4778" w:rsidRPr="008900A2">
        <w:rPr>
          <w:rFonts w:eastAsia="Times New Roman"/>
          <w:bCs w:val="0"/>
        </w:rPr>
        <w:t>44</w:t>
      </w:r>
      <w:r w:rsidR="00DC6DE4" w:rsidRPr="008900A2">
        <w:rPr>
          <w:rFonts w:eastAsia="Times New Roman"/>
          <w:bCs w:val="0"/>
        </w:rPr>
        <w:t>])</w:t>
      </w:r>
      <w:r w:rsidR="00C0447F" w:rsidRPr="008900A2">
        <w:rPr>
          <w:rFonts w:eastAsia="Times New Roman"/>
          <w:bCs w:val="0"/>
        </w:rPr>
        <w:t xml:space="preserve"> and </w:t>
      </w:r>
      <w:r w:rsidR="00980EAE" w:rsidRPr="008900A2">
        <w:rPr>
          <w:rFonts w:eastAsia="Times New Roman"/>
          <w:bCs w:val="0"/>
        </w:rPr>
        <w:t>negative expectations</w:t>
      </w:r>
      <w:r w:rsidR="00DC6DE4" w:rsidRPr="008900A2">
        <w:rPr>
          <w:rFonts w:eastAsia="Times New Roman"/>
          <w:bCs w:val="0"/>
        </w:rPr>
        <w:t xml:space="preserve"> (</w:t>
      </w:r>
      <w:r w:rsidR="00DC6DE4" w:rsidRPr="008900A2">
        <w:rPr>
          <w:rFonts w:eastAsia="Times New Roman"/>
          <w:bCs w:val="0"/>
          <w:i/>
          <w:iCs/>
        </w:rPr>
        <w:t>b =</w:t>
      </w:r>
      <w:r w:rsidR="00DC6DE4" w:rsidRPr="008900A2">
        <w:rPr>
          <w:rFonts w:eastAsia="Times New Roman"/>
          <w:bCs w:val="0"/>
        </w:rPr>
        <w:t xml:space="preserve"> 0.</w:t>
      </w:r>
      <w:r w:rsidR="001E4778" w:rsidRPr="008900A2">
        <w:rPr>
          <w:rFonts w:eastAsia="Times New Roman"/>
          <w:bCs w:val="0"/>
        </w:rPr>
        <w:t>471</w:t>
      </w:r>
      <w:r w:rsidR="00DC6DE4" w:rsidRPr="008900A2">
        <w:rPr>
          <w:rFonts w:eastAsia="Times New Roman"/>
          <w:bCs w:val="0"/>
        </w:rPr>
        <w:t>, 95% CI [0.</w:t>
      </w:r>
      <w:r w:rsidR="000F3727" w:rsidRPr="008900A2">
        <w:rPr>
          <w:rFonts w:eastAsia="Times New Roman"/>
          <w:bCs w:val="0"/>
        </w:rPr>
        <w:t>0</w:t>
      </w:r>
      <w:r w:rsidR="00231F3A" w:rsidRPr="008900A2">
        <w:rPr>
          <w:rFonts w:eastAsia="Times New Roman"/>
          <w:bCs w:val="0"/>
        </w:rPr>
        <w:t>8</w:t>
      </w:r>
      <w:r w:rsidR="001E4778" w:rsidRPr="008900A2">
        <w:rPr>
          <w:rFonts w:eastAsia="Times New Roman"/>
          <w:bCs w:val="0"/>
        </w:rPr>
        <w:t>9</w:t>
      </w:r>
      <w:r w:rsidR="00DC6DE4" w:rsidRPr="008900A2">
        <w:rPr>
          <w:rFonts w:eastAsia="Times New Roman"/>
          <w:bCs w:val="0"/>
        </w:rPr>
        <w:t xml:space="preserve">, </w:t>
      </w:r>
      <w:r w:rsidR="000F3727" w:rsidRPr="008900A2">
        <w:rPr>
          <w:rFonts w:eastAsia="Times New Roman"/>
          <w:bCs w:val="0"/>
        </w:rPr>
        <w:t>1.12</w:t>
      </w:r>
      <w:r w:rsidR="001E4778" w:rsidRPr="008900A2">
        <w:rPr>
          <w:rFonts w:eastAsia="Times New Roman"/>
          <w:bCs w:val="0"/>
        </w:rPr>
        <w:t>8</w:t>
      </w:r>
      <w:r w:rsidR="00DC6DE4" w:rsidRPr="008900A2">
        <w:rPr>
          <w:rFonts w:eastAsia="Times New Roman"/>
          <w:bCs w:val="0"/>
        </w:rPr>
        <w:t>]</w:t>
      </w:r>
      <w:r w:rsidR="00C0447F" w:rsidRPr="008900A2">
        <w:rPr>
          <w:rFonts w:eastAsia="Times New Roman"/>
          <w:bCs w:val="0"/>
        </w:rPr>
        <w:t xml:space="preserve">. </w:t>
      </w:r>
      <w:r w:rsidR="003176DC" w:rsidRPr="008900A2">
        <w:rPr>
          <w:rFonts w:eastAsia="Times New Roman"/>
          <w:bCs w:val="0"/>
        </w:rPr>
        <w:t xml:space="preserve">There were also two significant indirect effects between area and </w:t>
      </w:r>
      <w:r w:rsidR="004C67EC" w:rsidRPr="008900A2">
        <w:rPr>
          <w:rFonts w:eastAsia="Times New Roman"/>
          <w:bCs w:val="0"/>
        </w:rPr>
        <w:t xml:space="preserve">anxiety </w:t>
      </w:r>
      <w:r w:rsidR="003176DC" w:rsidRPr="008900A2">
        <w:rPr>
          <w:rFonts w:eastAsia="Times New Roman"/>
          <w:bCs w:val="0"/>
        </w:rPr>
        <w:t>depression through two marginalization stressors (e.g., distal predicting proximal) of the same differences</w:t>
      </w:r>
      <w:r w:rsidR="00A8599C" w:rsidRPr="008900A2">
        <w:rPr>
          <w:rFonts w:eastAsia="Times New Roman"/>
          <w:bCs w:val="0"/>
        </w:rPr>
        <w:t xml:space="preserve"> between urban and urban cluster participants:</w:t>
      </w:r>
      <w:r w:rsidR="00353EC9" w:rsidRPr="008900A2">
        <w:rPr>
          <w:rFonts w:eastAsia="Times New Roman"/>
          <w:bCs w:val="0"/>
        </w:rPr>
        <w:t xml:space="preserve"> </w:t>
      </w:r>
      <w:r w:rsidR="00541C82" w:rsidRPr="008900A2">
        <w:rPr>
          <w:rFonts w:eastAsia="Times New Roman"/>
          <w:bCs w:val="0"/>
        </w:rPr>
        <w:t>non-affirmation and</w:t>
      </w:r>
      <w:r w:rsidR="00353EC9" w:rsidRPr="008900A2">
        <w:rPr>
          <w:rFonts w:eastAsia="Times New Roman"/>
          <w:bCs w:val="0"/>
        </w:rPr>
        <w:t xml:space="preserve"> </w:t>
      </w:r>
      <w:r w:rsidR="00980EAE" w:rsidRPr="008900A2">
        <w:rPr>
          <w:rFonts w:eastAsia="Times New Roman"/>
          <w:bCs w:val="0"/>
        </w:rPr>
        <w:t xml:space="preserve">rumination </w:t>
      </w:r>
      <w:r w:rsidR="00DC6DE4" w:rsidRPr="008900A2">
        <w:rPr>
          <w:rFonts w:eastAsia="Times New Roman"/>
          <w:bCs w:val="0"/>
        </w:rPr>
        <w:t>(</w:t>
      </w:r>
      <w:r w:rsidR="00DC6DE4" w:rsidRPr="008900A2">
        <w:rPr>
          <w:rFonts w:eastAsia="Times New Roman"/>
          <w:bCs w:val="0"/>
          <w:i/>
          <w:iCs/>
        </w:rPr>
        <w:t xml:space="preserve">b </w:t>
      </w:r>
      <w:r w:rsidR="00DC6DE4" w:rsidRPr="008900A2">
        <w:rPr>
          <w:rFonts w:eastAsia="Times New Roman"/>
          <w:bCs w:val="0"/>
        </w:rPr>
        <w:t>= 0.0</w:t>
      </w:r>
      <w:r w:rsidR="000F3727" w:rsidRPr="008900A2">
        <w:rPr>
          <w:rFonts w:eastAsia="Times New Roman"/>
          <w:bCs w:val="0"/>
        </w:rPr>
        <w:t>8</w:t>
      </w:r>
      <w:r w:rsidR="00F6057F" w:rsidRPr="008900A2">
        <w:rPr>
          <w:rFonts w:eastAsia="Times New Roman"/>
          <w:bCs w:val="0"/>
        </w:rPr>
        <w:t>5</w:t>
      </w:r>
      <w:r w:rsidR="009A49FD" w:rsidRPr="008900A2">
        <w:rPr>
          <w:rFonts w:eastAsia="Times New Roman"/>
          <w:bCs w:val="0"/>
        </w:rPr>
        <w:t>,</w:t>
      </w:r>
      <w:r w:rsidR="00DC6DE4" w:rsidRPr="008900A2">
        <w:rPr>
          <w:rFonts w:eastAsia="Times New Roman"/>
          <w:bCs w:val="0"/>
        </w:rPr>
        <w:t xml:space="preserve"> </w:t>
      </w:r>
      <w:r w:rsidR="00980EAE" w:rsidRPr="008900A2">
        <w:rPr>
          <w:rFonts w:eastAsia="Times New Roman"/>
          <w:bCs w:val="0"/>
        </w:rPr>
        <w:t>95% CI [0.0</w:t>
      </w:r>
      <w:r w:rsidR="000F3727" w:rsidRPr="008900A2">
        <w:rPr>
          <w:rFonts w:eastAsia="Times New Roman"/>
          <w:bCs w:val="0"/>
        </w:rPr>
        <w:t>1</w:t>
      </w:r>
      <w:r w:rsidR="007C109A" w:rsidRPr="008900A2">
        <w:rPr>
          <w:rFonts w:eastAsia="Times New Roman"/>
          <w:bCs w:val="0"/>
        </w:rPr>
        <w:t>8</w:t>
      </w:r>
      <w:r w:rsidR="00980EAE" w:rsidRPr="008900A2">
        <w:rPr>
          <w:rFonts w:eastAsia="Times New Roman"/>
          <w:bCs w:val="0"/>
        </w:rPr>
        <w:t>, 0.2</w:t>
      </w:r>
      <w:r w:rsidR="00EB2507" w:rsidRPr="008900A2">
        <w:rPr>
          <w:rFonts w:eastAsia="Times New Roman"/>
          <w:bCs w:val="0"/>
        </w:rPr>
        <w:t>4</w:t>
      </w:r>
      <w:r w:rsidR="007C109A" w:rsidRPr="008900A2">
        <w:rPr>
          <w:rFonts w:eastAsia="Times New Roman"/>
          <w:bCs w:val="0"/>
        </w:rPr>
        <w:t>7</w:t>
      </w:r>
      <w:r w:rsidR="00980EAE" w:rsidRPr="008900A2">
        <w:rPr>
          <w:rFonts w:eastAsia="Times New Roman"/>
          <w:bCs w:val="0"/>
        </w:rPr>
        <w:t>]</w:t>
      </w:r>
      <w:r w:rsidR="00DC6DE4" w:rsidRPr="008900A2">
        <w:rPr>
          <w:rFonts w:eastAsia="Times New Roman"/>
          <w:bCs w:val="0"/>
        </w:rPr>
        <w:t>)</w:t>
      </w:r>
      <w:r w:rsidR="00980EAE" w:rsidRPr="008900A2">
        <w:rPr>
          <w:rFonts w:eastAsia="Times New Roman"/>
          <w:bCs w:val="0"/>
        </w:rPr>
        <w:t xml:space="preserve"> and </w:t>
      </w:r>
      <w:r w:rsidR="00541C82" w:rsidRPr="008900A2">
        <w:rPr>
          <w:rFonts w:eastAsia="Times New Roman"/>
          <w:bCs w:val="0"/>
        </w:rPr>
        <w:t xml:space="preserve">non-affirmation and </w:t>
      </w:r>
      <w:r w:rsidR="00980EAE" w:rsidRPr="008900A2">
        <w:rPr>
          <w:rFonts w:eastAsia="Times New Roman"/>
          <w:bCs w:val="0"/>
        </w:rPr>
        <w:t xml:space="preserve">negative expectations </w:t>
      </w:r>
      <w:r w:rsidR="00DC6DE4" w:rsidRPr="008900A2">
        <w:rPr>
          <w:rFonts w:eastAsia="Times New Roman"/>
          <w:bCs w:val="0"/>
        </w:rPr>
        <w:t>(</w:t>
      </w:r>
      <w:r w:rsidR="00DC6DE4" w:rsidRPr="008900A2">
        <w:rPr>
          <w:rFonts w:eastAsia="Times New Roman"/>
          <w:bCs w:val="0"/>
          <w:i/>
          <w:iCs/>
        </w:rPr>
        <w:t xml:space="preserve">b = </w:t>
      </w:r>
      <w:r w:rsidR="00DC6DE4" w:rsidRPr="008900A2">
        <w:rPr>
          <w:rFonts w:eastAsia="Times New Roman"/>
          <w:bCs w:val="0"/>
        </w:rPr>
        <w:t>0.</w:t>
      </w:r>
      <w:r w:rsidR="000F3727" w:rsidRPr="008900A2">
        <w:rPr>
          <w:rFonts w:eastAsia="Times New Roman"/>
          <w:bCs w:val="0"/>
        </w:rPr>
        <w:t>19</w:t>
      </w:r>
      <w:r w:rsidR="003F09B5" w:rsidRPr="008900A2">
        <w:rPr>
          <w:rFonts w:eastAsia="Times New Roman"/>
          <w:bCs w:val="0"/>
        </w:rPr>
        <w:t>5</w:t>
      </w:r>
      <w:r w:rsidR="00DC6DE4" w:rsidRPr="008900A2">
        <w:rPr>
          <w:rFonts w:eastAsia="Times New Roman"/>
          <w:bCs w:val="0"/>
        </w:rPr>
        <w:t xml:space="preserve">, </w:t>
      </w:r>
      <w:r w:rsidR="00980EAE" w:rsidRPr="008900A2">
        <w:rPr>
          <w:rFonts w:eastAsia="Times New Roman"/>
          <w:bCs w:val="0"/>
        </w:rPr>
        <w:t>95% CI [0.</w:t>
      </w:r>
      <w:r w:rsidR="003F09B5" w:rsidRPr="008900A2">
        <w:rPr>
          <w:rFonts w:eastAsia="Times New Roman"/>
          <w:bCs w:val="0"/>
        </w:rPr>
        <w:t>037</w:t>
      </w:r>
      <w:r w:rsidR="00980EAE" w:rsidRPr="008900A2">
        <w:rPr>
          <w:rFonts w:eastAsia="Times New Roman"/>
          <w:bCs w:val="0"/>
        </w:rPr>
        <w:t>, 0.</w:t>
      </w:r>
      <w:r w:rsidR="00B22734" w:rsidRPr="008900A2">
        <w:rPr>
          <w:rFonts w:eastAsia="Times New Roman"/>
          <w:bCs w:val="0"/>
        </w:rPr>
        <w:t>49</w:t>
      </w:r>
      <w:r w:rsidR="003F09B5" w:rsidRPr="008900A2">
        <w:rPr>
          <w:rFonts w:eastAsia="Times New Roman"/>
          <w:bCs w:val="0"/>
        </w:rPr>
        <w:t>7</w:t>
      </w:r>
      <w:r w:rsidR="00980EAE" w:rsidRPr="008900A2">
        <w:rPr>
          <w:rFonts w:eastAsia="Times New Roman"/>
          <w:bCs w:val="0"/>
        </w:rPr>
        <w:t>]</w:t>
      </w:r>
      <w:r w:rsidR="00DC6DE4" w:rsidRPr="008900A2">
        <w:rPr>
          <w:rFonts w:eastAsia="Times New Roman"/>
          <w:bCs w:val="0"/>
        </w:rPr>
        <w:t>)</w:t>
      </w:r>
      <w:r w:rsidR="00980EAE" w:rsidRPr="008900A2">
        <w:rPr>
          <w:rFonts w:eastAsia="Times New Roman"/>
          <w:bCs w:val="0"/>
        </w:rPr>
        <w:t>.</w:t>
      </w:r>
      <w:bookmarkEnd w:id="0"/>
      <w:r w:rsidR="001C5712" w:rsidRPr="008900A2">
        <w:rPr>
          <w:rFonts w:eastAsia="Times New Roman"/>
          <w:bCs w:val="0"/>
        </w:rPr>
        <w:t xml:space="preserve"> </w:t>
      </w:r>
    </w:p>
    <w:p w14:paraId="7BE9ABEB" w14:textId="3C1BA677" w:rsidR="007207DE" w:rsidRPr="008900A2" w:rsidRDefault="001C5712" w:rsidP="002C0577">
      <w:pPr>
        <w:spacing w:after="0" w:line="480" w:lineRule="auto"/>
        <w:ind w:firstLine="720"/>
        <w:rPr>
          <w:rFonts w:eastAsia="Times New Roman"/>
          <w:bCs w:val="0"/>
        </w:rPr>
      </w:pPr>
      <w:r w:rsidRPr="008900A2">
        <w:rPr>
          <w:rFonts w:eastAsia="Times New Roman"/>
          <w:bCs w:val="0"/>
        </w:rPr>
        <w:t xml:space="preserve">Finally, there were also two significant indirect effects between area and </w:t>
      </w:r>
      <w:r w:rsidR="00243122" w:rsidRPr="008900A2">
        <w:rPr>
          <w:rFonts w:eastAsia="Times New Roman"/>
          <w:bCs w:val="0"/>
        </w:rPr>
        <w:t xml:space="preserve">anxiety </w:t>
      </w:r>
      <w:r w:rsidRPr="008900A2">
        <w:rPr>
          <w:rFonts w:eastAsia="Times New Roman"/>
          <w:bCs w:val="0"/>
        </w:rPr>
        <w:t>through two marginalization stressors (e.g., distal predicting proximal) rural and urban participants</w:t>
      </w:r>
      <w:r w:rsidR="00D346A4">
        <w:rPr>
          <w:rFonts w:eastAsia="Times New Roman"/>
          <w:bCs w:val="0"/>
        </w:rPr>
        <w:t xml:space="preserve"> through </w:t>
      </w:r>
      <w:r w:rsidRPr="008900A2">
        <w:rPr>
          <w:rFonts w:eastAsia="Times New Roman"/>
          <w:bCs w:val="0"/>
        </w:rPr>
        <w:t>non-affirmation and rumination (</w:t>
      </w:r>
      <w:r w:rsidRPr="008900A2">
        <w:rPr>
          <w:rFonts w:eastAsia="Times New Roman"/>
          <w:bCs w:val="0"/>
          <w:i/>
          <w:iCs/>
        </w:rPr>
        <w:t xml:space="preserve">b </w:t>
      </w:r>
      <w:r w:rsidRPr="008900A2">
        <w:rPr>
          <w:rFonts w:eastAsia="Times New Roman"/>
          <w:bCs w:val="0"/>
        </w:rPr>
        <w:t>= -0.1</w:t>
      </w:r>
      <w:r w:rsidR="00B22734" w:rsidRPr="008900A2">
        <w:rPr>
          <w:rFonts w:eastAsia="Times New Roman"/>
          <w:bCs w:val="0"/>
        </w:rPr>
        <w:t>2</w:t>
      </w:r>
      <w:r w:rsidR="00A162E6" w:rsidRPr="008900A2">
        <w:rPr>
          <w:rFonts w:eastAsia="Times New Roman"/>
          <w:bCs w:val="0"/>
        </w:rPr>
        <w:t>9</w:t>
      </w:r>
      <w:r w:rsidRPr="008900A2">
        <w:rPr>
          <w:rFonts w:eastAsia="Times New Roman"/>
          <w:bCs w:val="0"/>
        </w:rPr>
        <w:t>, 95% CI [-0.</w:t>
      </w:r>
      <w:r w:rsidR="00B22734" w:rsidRPr="008900A2">
        <w:rPr>
          <w:rFonts w:eastAsia="Times New Roman"/>
          <w:bCs w:val="0"/>
        </w:rPr>
        <w:t>3</w:t>
      </w:r>
      <w:r w:rsidR="00A162E6" w:rsidRPr="008900A2">
        <w:rPr>
          <w:rFonts w:eastAsia="Times New Roman"/>
          <w:bCs w:val="0"/>
        </w:rPr>
        <w:t>97</w:t>
      </w:r>
      <w:r w:rsidRPr="008900A2">
        <w:rPr>
          <w:rFonts w:eastAsia="Times New Roman"/>
          <w:bCs w:val="0"/>
        </w:rPr>
        <w:t>, -0.</w:t>
      </w:r>
      <w:r w:rsidR="008C45C7" w:rsidRPr="008900A2">
        <w:rPr>
          <w:rFonts w:eastAsia="Times New Roman"/>
          <w:bCs w:val="0"/>
        </w:rPr>
        <w:t>03</w:t>
      </w:r>
      <w:r w:rsidR="00A162E6" w:rsidRPr="008900A2">
        <w:rPr>
          <w:rFonts w:eastAsia="Times New Roman"/>
          <w:bCs w:val="0"/>
        </w:rPr>
        <w:t>4</w:t>
      </w:r>
      <w:r w:rsidRPr="008900A2">
        <w:rPr>
          <w:rFonts w:eastAsia="Times New Roman"/>
          <w:bCs w:val="0"/>
        </w:rPr>
        <w:t>) and</w:t>
      </w:r>
      <w:r w:rsidR="00D346A4">
        <w:rPr>
          <w:rFonts w:eastAsia="Times New Roman"/>
          <w:bCs w:val="0"/>
        </w:rPr>
        <w:t xml:space="preserve"> through</w:t>
      </w:r>
      <w:r w:rsidRPr="008900A2">
        <w:rPr>
          <w:rFonts w:eastAsia="Times New Roman"/>
          <w:bCs w:val="0"/>
        </w:rPr>
        <w:t xml:space="preserve"> non-affirmation and negative expectations (</w:t>
      </w:r>
      <w:r w:rsidRPr="008900A2">
        <w:rPr>
          <w:rFonts w:eastAsia="Times New Roman"/>
          <w:bCs w:val="0"/>
          <w:i/>
          <w:iCs/>
        </w:rPr>
        <w:t>b = -</w:t>
      </w:r>
      <w:r w:rsidRPr="008900A2">
        <w:rPr>
          <w:rFonts w:eastAsia="Times New Roman"/>
          <w:bCs w:val="0"/>
        </w:rPr>
        <w:t>0.</w:t>
      </w:r>
      <w:r w:rsidR="00A162E6" w:rsidRPr="008900A2">
        <w:rPr>
          <w:rFonts w:eastAsia="Times New Roman"/>
          <w:bCs w:val="0"/>
        </w:rPr>
        <w:t>302</w:t>
      </w:r>
      <w:r w:rsidRPr="008900A2">
        <w:rPr>
          <w:rFonts w:eastAsia="Times New Roman"/>
          <w:bCs w:val="0"/>
        </w:rPr>
        <w:t>, 95% CI [-0.7</w:t>
      </w:r>
      <w:r w:rsidR="00EF07BB" w:rsidRPr="008900A2">
        <w:rPr>
          <w:rFonts w:eastAsia="Times New Roman"/>
          <w:bCs w:val="0"/>
        </w:rPr>
        <w:t>73</w:t>
      </w:r>
      <w:r w:rsidRPr="008900A2">
        <w:rPr>
          <w:rFonts w:eastAsia="Times New Roman"/>
          <w:bCs w:val="0"/>
        </w:rPr>
        <w:t>, -0.0</w:t>
      </w:r>
      <w:r w:rsidR="00EF07BB" w:rsidRPr="008900A2">
        <w:rPr>
          <w:rFonts w:eastAsia="Times New Roman"/>
          <w:bCs w:val="0"/>
        </w:rPr>
        <w:t>74</w:t>
      </w:r>
      <w:r w:rsidRPr="008900A2">
        <w:rPr>
          <w:rFonts w:eastAsia="Times New Roman"/>
          <w:bCs w:val="0"/>
        </w:rPr>
        <w:t>]).</w:t>
      </w:r>
    </w:p>
    <w:p w14:paraId="797A47E9" w14:textId="6325BF23" w:rsidR="007741C7" w:rsidRPr="008900A2" w:rsidRDefault="007741C7" w:rsidP="00661404">
      <w:pPr>
        <w:spacing w:after="0" w:line="480" w:lineRule="auto"/>
        <w:rPr>
          <w:rFonts w:eastAsia="Times New Roman"/>
          <w:bCs w:val="0"/>
        </w:rPr>
      </w:pPr>
      <w:r w:rsidRPr="008900A2">
        <w:rPr>
          <w:b/>
        </w:rPr>
        <w:t>Aim 3 Model 2:</w:t>
      </w:r>
      <w:r w:rsidR="0038272D" w:rsidRPr="008900A2">
        <w:rPr>
          <w:rFonts w:eastAsia="Times New Roman"/>
          <w:bCs w:val="0"/>
        </w:rPr>
        <w:tab/>
      </w:r>
    </w:p>
    <w:p w14:paraId="33EFB356" w14:textId="6D938012" w:rsidR="00844302" w:rsidRPr="008900A2" w:rsidRDefault="0038272D" w:rsidP="00844302">
      <w:pPr>
        <w:spacing w:after="0" w:line="480" w:lineRule="auto"/>
        <w:ind w:firstLine="720"/>
        <w:rPr>
          <w:color w:val="222222"/>
          <w:shd w:val="clear" w:color="auto" w:fill="FFFFFF"/>
        </w:rPr>
      </w:pPr>
      <w:r w:rsidRPr="008900A2">
        <w:rPr>
          <w:rFonts w:eastAsia="Times New Roman"/>
          <w:b/>
          <w:i/>
          <w:iCs/>
        </w:rPr>
        <w:t xml:space="preserve">Protective factors as moderators. </w:t>
      </w:r>
      <w:r w:rsidR="00844302" w:rsidRPr="008900A2">
        <w:t>Estimation of this model yielded satisfactory fit, CFI = .986, RMSEA = .10</w:t>
      </w:r>
      <w:r w:rsidR="004035B8" w:rsidRPr="008900A2">
        <w:t>4</w:t>
      </w:r>
      <w:r w:rsidR="00844302" w:rsidRPr="008900A2">
        <w:t>, SRMR = .02</w:t>
      </w:r>
      <w:r w:rsidR="004035B8" w:rsidRPr="008900A2">
        <w:t>5</w:t>
      </w:r>
      <w:r w:rsidR="00844302" w:rsidRPr="008900A2">
        <w:t xml:space="preserve">. The sample size adjusted BIC of this model is </w:t>
      </w:r>
      <w:r w:rsidR="00E87821" w:rsidRPr="008900A2">
        <w:rPr>
          <w:rFonts w:eastAsia="Times New Roman"/>
        </w:rPr>
        <w:t>14952.427</w:t>
      </w:r>
      <w:r w:rsidR="00844302" w:rsidRPr="008900A2">
        <w:t xml:space="preserve">. </w:t>
      </w:r>
      <w:r w:rsidR="00EF07BB" w:rsidRPr="008900A2">
        <w:t xml:space="preserve">Gender pride was not a significant moderator </w:t>
      </w:r>
      <w:r w:rsidR="001E04A2" w:rsidRPr="008900A2">
        <w:t>so the second model without gender pride as a moderator was retained.</w:t>
      </w:r>
      <w:r w:rsidR="001E04A2" w:rsidRPr="008900A2" w:rsidDel="001E04A2">
        <w:t xml:space="preserve"> </w:t>
      </w:r>
    </w:p>
    <w:p w14:paraId="51935564" w14:textId="5174CBD7" w:rsidR="00E002EB" w:rsidRPr="008900A2" w:rsidRDefault="00B51252" w:rsidP="00900E21">
      <w:pPr>
        <w:spacing w:after="0" w:line="480" w:lineRule="auto"/>
        <w:jc w:val="center"/>
        <w:rPr>
          <w:b/>
        </w:rPr>
      </w:pPr>
      <w:r w:rsidRPr="008900A2">
        <w:rPr>
          <w:b/>
        </w:rPr>
        <w:t>Discussion</w:t>
      </w:r>
      <w:r w:rsidR="00C4617A" w:rsidRPr="008900A2">
        <w:t xml:space="preserve"> </w:t>
      </w:r>
    </w:p>
    <w:p w14:paraId="1CBCB769" w14:textId="41E15F51" w:rsidR="00156BEA" w:rsidRPr="008900A2" w:rsidRDefault="00E002EB" w:rsidP="00C72722">
      <w:pPr>
        <w:spacing w:after="0" w:line="480" w:lineRule="auto"/>
      </w:pPr>
      <w:r w:rsidRPr="008900A2">
        <w:tab/>
      </w:r>
      <w:r w:rsidR="00BD5E4E" w:rsidRPr="008900A2">
        <w:t xml:space="preserve"> </w:t>
      </w:r>
      <w:r w:rsidR="00426AD3" w:rsidRPr="008900A2">
        <w:t>Support for our hypotheses were mixed. Consistent with our hypotheses, r</w:t>
      </w:r>
      <w:r w:rsidR="005A5DDC" w:rsidRPr="008900A2">
        <w:rPr>
          <w:rFonts w:eastAsia="Times New Roman"/>
          <w:bCs w:val="0"/>
        </w:rPr>
        <w:t>ural</w:t>
      </w:r>
      <w:r w:rsidR="005A5DDC" w:rsidRPr="008900A2">
        <w:rPr>
          <w:bCs w:val="0"/>
        </w:rPr>
        <w:t xml:space="preserve"> </w:t>
      </w:r>
      <w:r w:rsidR="005A5DDC" w:rsidRPr="008900A2">
        <w:rPr>
          <w:rFonts w:eastAsia="Times New Roman"/>
          <w:bCs w:val="0"/>
        </w:rPr>
        <w:t>and urban cluster participants reported experiencing higher levels of depression</w:t>
      </w:r>
      <w:r w:rsidR="007448E9" w:rsidRPr="008900A2">
        <w:rPr>
          <w:rFonts w:eastAsia="Times New Roman"/>
          <w:bCs w:val="0"/>
        </w:rPr>
        <w:t xml:space="preserve"> and </w:t>
      </w:r>
      <w:r w:rsidR="00195F46" w:rsidRPr="008900A2">
        <w:rPr>
          <w:rFonts w:eastAsia="Times New Roman"/>
          <w:bCs w:val="0"/>
        </w:rPr>
        <w:t xml:space="preserve">suicidal ideation </w:t>
      </w:r>
      <w:r w:rsidR="005A5DDC" w:rsidRPr="008900A2">
        <w:rPr>
          <w:rFonts w:eastAsia="Times New Roman"/>
          <w:bCs w:val="0"/>
        </w:rPr>
        <w:t>than urban participants</w:t>
      </w:r>
      <w:r w:rsidR="00900E21" w:rsidRPr="008900A2">
        <w:rPr>
          <w:rFonts w:eastAsia="Times New Roman"/>
          <w:bCs w:val="0"/>
        </w:rPr>
        <w:t xml:space="preserve">. </w:t>
      </w:r>
      <w:r w:rsidR="007448E9" w:rsidRPr="008900A2">
        <w:rPr>
          <w:rFonts w:eastAsia="Times New Roman"/>
          <w:bCs w:val="0"/>
        </w:rPr>
        <w:t>Inconsistent with our hypotheses</w:t>
      </w:r>
      <w:r w:rsidR="00426AD3" w:rsidRPr="008900A2">
        <w:rPr>
          <w:rFonts w:eastAsia="Times New Roman"/>
          <w:bCs w:val="0"/>
        </w:rPr>
        <w:t>, only urban cluster</w:t>
      </w:r>
      <w:r w:rsidR="00630D40" w:rsidRPr="008900A2">
        <w:rPr>
          <w:rFonts w:eastAsia="Times New Roman"/>
          <w:bCs w:val="0"/>
        </w:rPr>
        <w:t>, but not rural,</w:t>
      </w:r>
      <w:r w:rsidR="005A5DDC" w:rsidRPr="008900A2">
        <w:rPr>
          <w:rFonts w:eastAsia="Times New Roman"/>
          <w:bCs w:val="0"/>
        </w:rPr>
        <w:t xml:space="preserve"> participants reported experiencing higher levels of anxiety than urban participants.</w:t>
      </w:r>
      <w:r w:rsidR="00F710EC" w:rsidRPr="008900A2">
        <w:t xml:space="preserve"> </w:t>
      </w:r>
      <w:r w:rsidR="005A5DDC" w:rsidRPr="008900A2">
        <w:rPr>
          <w:bCs w:val="0"/>
        </w:rPr>
        <w:t>Additionally,</w:t>
      </w:r>
      <w:r w:rsidR="005A5DDC" w:rsidRPr="008900A2">
        <w:rPr>
          <w:b/>
        </w:rPr>
        <w:t xml:space="preserve"> </w:t>
      </w:r>
      <w:r w:rsidR="00F710EC" w:rsidRPr="008900A2">
        <w:rPr>
          <w:bCs w:val="0"/>
        </w:rPr>
        <w:t>u</w:t>
      </w:r>
      <w:r w:rsidR="005A5DDC" w:rsidRPr="008900A2">
        <w:rPr>
          <w:rFonts w:eastAsia="Times New Roman"/>
          <w:bCs w:val="0"/>
        </w:rPr>
        <w:t xml:space="preserve">rban cluster participants reported more experiences of marginalization stressors (gender-related non-affirmation, negative expectations, rejection, discrimination, </w:t>
      </w:r>
      <w:r w:rsidR="00C722AF" w:rsidRPr="008900A2">
        <w:rPr>
          <w:rFonts w:eastAsia="Times New Roman"/>
          <w:bCs w:val="0"/>
        </w:rPr>
        <w:t xml:space="preserve">rumination, </w:t>
      </w:r>
      <w:r w:rsidR="005A5DDC" w:rsidRPr="008900A2">
        <w:rPr>
          <w:rFonts w:eastAsia="Times New Roman"/>
          <w:bCs w:val="0"/>
        </w:rPr>
        <w:t>victimization</w:t>
      </w:r>
      <w:r w:rsidR="00C50631">
        <w:rPr>
          <w:rFonts w:eastAsia="Times New Roman"/>
          <w:bCs w:val="0"/>
        </w:rPr>
        <w:t>, internalized transphobia</w:t>
      </w:r>
      <w:r w:rsidR="005A5DDC" w:rsidRPr="008900A2">
        <w:rPr>
          <w:rFonts w:eastAsia="Times New Roman"/>
          <w:bCs w:val="0"/>
        </w:rPr>
        <w:t xml:space="preserve">) than urban participants. </w:t>
      </w:r>
      <w:r w:rsidR="003124E3" w:rsidRPr="008900A2">
        <w:rPr>
          <w:rFonts w:eastAsia="Times New Roman"/>
          <w:bCs w:val="0"/>
        </w:rPr>
        <w:t>Rural participants reported experiencing more</w:t>
      </w:r>
      <w:r w:rsidR="006D499F" w:rsidRPr="008900A2">
        <w:rPr>
          <w:rFonts w:eastAsia="Times New Roman"/>
          <w:bCs w:val="0"/>
        </w:rPr>
        <w:t xml:space="preserve"> gender-related</w:t>
      </w:r>
      <w:r w:rsidR="003124E3" w:rsidRPr="008900A2">
        <w:rPr>
          <w:rFonts w:eastAsia="Times New Roman"/>
          <w:bCs w:val="0"/>
        </w:rPr>
        <w:t xml:space="preserve"> </w:t>
      </w:r>
      <w:r w:rsidR="006D499F" w:rsidRPr="008900A2">
        <w:rPr>
          <w:rFonts w:eastAsia="Times New Roman"/>
          <w:bCs w:val="0"/>
        </w:rPr>
        <w:t>discrimination</w:t>
      </w:r>
      <w:r w:rsidR="003124E3" w:rsidRPr="008900A2">
        <w:rPr>
          <w:rFonts w:eastAsia="Times New Roman"/>
          <w:bCs w:val="0"/>
        </w:rPr>
        <w:t xml:space="preserve">, </w:t>
      </w:r>
      <w:r w:rsidR="006D499F" w:rsidRPr="008900A2">
        <w:rPr>
          <w:rFonts w:eastAsia="Times New Roman"/>
          <w:bCs w:val="0"/>
        </w:rPr>
        <w:t xml:space="preserve">rejection, and victimization but </w:t>
      </w:r>
      <w:r w:rsidR="00E0414A" w:rsidRPr="008900A2">
        <w:rPr>
          <w:rFonts w:eastAsia="Times New Roman"/>
          <w:bCs w:val="0"/>
        </w:rPr>
        <w:t xml:space="preserve">reported experiencing </w:t>
      </w:r>
      <w:r w:rsidR="006D499F" w:rsidRPr="008900A2">
        <w:rPr>
          <w:rFonts w:eastAsia="Times New Roman"/>
          <w:bCs w:val="0"/>
        </w:rPr>
        <w:t xml:space="preserve">less non-affirmation than urban participants. </w:t>
      </w:r>
      <w:r w:rsidR="00F5138D" w:rsidRPr="008900A2">
        <w:rPr>
          <w:rFonts w:eastAsia="Times New Roman"/>
          <w:bCs w:val="0"/>
        </w:rPr>
        <w:t xml:space="preserve">Although it is not entirely clear why rural participants reported fewer experiences of non-affirmation than urban participants it could be related to whether these participants have disclosed their gender identity to their community. If not, they may not be experiencing non-affirmation in the way that the GMSR captures non-affirmation as many of items assume the respondent has disclosed their gender identity and their identity is subsequently not being affirmed. </w:t>
      </w:r>
    </w:p>
    <w:p w14:paraId="2834B8BD" w14:textId="5CF6A91A" w:rsidR="00606C01" w:rsidRPr="008900A2" w:rsidRDefault="00385791" w:rsidP="00127770">
      <w:pPr>
        <w:spacing w:after="0" w:line="480" w:lineRule="auto"/>
      </w:pPr>
      <w:r w:rsidRPr="008900A2">
        <w:tab/>
      </w:r>
      <w:r w:rsidR="00293163" w:rsidRPr="008900A2">
        <w:t xml:space="preserve">We also sought to </w:t>
      </w:r>
      <w:r w:rsidRPr="008900A2">
        <w:t>determine whether distal and proximal marginalization stressors would account for significant portions of the relationship between area of residence and negative mental health outcomes, with protective factors moderating these relationships</w:t>
      </w:r>
      <w:r w:rsidR="00293163" w:rsidRPr="008900A2">
        <w:t xml:space="preserve">. </w:t>
      </w:r>
      <w:r w:rsidR="00AA7420" w:rsidRPr="008900A2">
        <w:t>Results indicate</w:t>
      </w:r>
      <w:r w:rsidR="0077436E" w:rsidRPr="008900A2">
        <w:t>d</w:t>
      </w:r>
      <w:r w:rsidR="00AA7420" w:rsidRPr="008900A2">
        <w:t xml:space="preserve"> non-affirmation of gender identity plays a significant role in mediating the relationships between area of residence, experiences of </w:t>
      </w:r>
      <w:r w:rsidR="002D31A2" w:rsidRPr="008900A2">
        <w:t xml:space="preserve">proximal </w:t>
      </w:r>
      <w:r w:rsidR="00AA7420" w:rsidRPr="008900A2">
        <w:t xml:space="preserve">marginalization stressors, and negative mental health outcomes. </w:t>
      </w:r>
      <w:r w:rsidR="002D31A2" w:rsidRPr="008900A2">
        <w:t xml:space="preserve">Although </w:t>
      </w:r>
      <w:r w:rsidR="00AA7420" w:rsidRPr="008900A2">
        <w:t xml:space="preserve">there is no previous research evidence examining </w:t>
      </w:r>
      <w:proofErr w:type="gramStart"/>
      <w:r w:rsidR="00AA7420" w:rsidRPr="008900A2">
        <w:t>all of</w:t>
      </w:r>
      <w:proofErr w:type="gramEnd"/>
      <w:r w:rsidR="00AA7420" w:rsidRPr="008900A2">
        <w:t xml:space="preserve"> these</w:t>
      </w:r>
      <w:r w:rsidR="00270B4C" w:rsidRPr="008900A2">
        <w:t xml:space="preserve"> variables</w:t>
      </w:r>
      <w:r w:rsidR="00AA7420" w:rsidRPr="008900A2">
        <w:t xml:space="preserve"> together, we do see </w:t>
      </w:r>
      <w:r w:rsidR="004163FC" w:rsidRPr="008900A2">
        <w:t>similar patterns in relationships</w:t>
      </w:r>
      <w:r w:rsidR="00AA7420" w:rsidRPr="008900A2">
        <w:t xml:space="preserve"> between</w:t>
      </w:r>
      <w:r w:rsidR="004163FC" w:rsidRPr="008900A2">
        <w:t xml:space="preserve"> experiences of </w:t>
      </w:r>
      <w:r w:rsidR="002D31A2" w:rsidRPr="008900A2">
        <w:t xml:space="preserve">distal </w:t>
      </w:r>
      <w:r w:rsidR="004163FC" w:rsidRPr="008900A2">
        <w:t xml:space="preserve">and </w:t>
      </w:r>
      <w:r w:rsidR="002D31A2" w:rsidRPr="008900A2">
        <w:t xml:space="preserve">proximal </w:t>
      </w:r>
      <w:r w:rsidR="004163FC" w:rsidRPr="008900A2">
        <w:t>marginalization stress variables</w:t>
      </w:r>
      <w:r w:rsidR="00270B4C" w:rsidRPr="008900A2">
        <w:t xml:space="preserve"> and negative mental health outcomes</w:t>
      </w:r>
      <w:r w:rsidR="004163FC" w:rsidRPr="008900A2">
        <w:t xml:space="preserve"> in other studies (e.g.</w:t>
      </w:r>
      <w:r w:rsidR="001C5712" w:rsidRPr="008900A2">
        <w:t>,</w:t>
      </w:r>
      <w:r w:rsidR="004163FC" w:rsidRPr="008900A2">
        <w:t xml:space="preserve"> Testa et al., 2017). </w:t>
      </w:r>
    </w:p>
    <w:p w14:paraId="7DC5EECB" w14:textId="4A52914C" w:rsidR="00321A9D" w:rsidRPr="008900A2" w:rsidRDefault="004163FC" w:rsidP="00606C01">
      <w:pPr>
        <w:spacing w:after="0" w:line="480" w:lineRule="auto"/>
        <w:ind w:firstLine="720"/>
      </w:pPr>
      <w:r w:rsidRPr="008900A2">
        <w:t>Perhaps un</w:t>
      </w:r>
      <w:r w:rsidR="00AA7420" w:rsidRPr="008900A2">
        <w:t>surprising, non-affirmation</w:t>
      </w:r>
      <w:r w:rsidRPr="008900A2">
        <w:t xml:space="preserve"> was the most predictive </w:t>
      </w:r>
      <w:r w:rsidR="002D31A2" w:rsidRPr="008900A2">
        <w:t xml:space="preserve">distal </w:t>
      </w:r>
      <w:r w:rsidRPr="008900A2">
        <w:t>marginalization stressor.</w:t>
      </w:r>
      <w:r w:rsidR="00270B4C" w:rsidRPr="008900A2">
        <w:t xml:space="preserve"> Non-affirmation of gender identity can take many forms including misgendering (e.g.</w:t>
      </w:r>
      <w:r w:rsidR="003176DC" w:rsidRPr="008900A2">
        <w:t>,</w:t>
      </w:r>
      <w:r w:rsidR="00270B4C" w:rsidRPr="008900A2">
        <w:t xml:space="preserve"> incorrect pronoun use, </w:t>
      </w:r>
      <w:r w:rsidR="00B92ECA" w:rsidRPr="008900A2">
        <w:t>dead naming</w:t>
      </w:r>
      <w:r w:rsidR="00270B4C" w:rsidRPr="008900A2">
        <w:t xml:space="preserve">, etc.) both intentionally or unintentionally by people TGD individuals interact with and may occur </w:t>
      </w:r>
      <w:r w:rsidR="002D31A2" w:rsidRPr="008900A2">
        <w:t xml:space="preserve">with </w:t>
      </w:r>
      <w:r w:rsidR="00270B4C" w:rsidRPr="008900A2">
        <w:t xml:space="preserve">a greater </w:t>
      </w:r>
      <w:r w:rsidR="002D31A2" w:rsidRPr="008900A2">
        <w:t xml:space="preserve">frequency </w:t>
      </w:r>
      <w:r w:rsidR="00270B4C" w:rsidRPr="008900A2">
        <w:t xml:space="preserve">than other forms of </w:t>
      </w:r>
      <w:r w:rsidR="002D31A2" w:rsidRPr="008900A2">
        <w:t xml:space="preserve">distal </w:t>
      </w:r>
      <w:r w:rsidR="00270B4C" w:rsidRPr="008900A2">
        <w:t>marginalization</w:t>
      </w:r>
      <w:r w:rsidR="003176DC" w:rsidRPr="008900A2">
        <w:t>. There were indirect effects</w:t>
      </w:r>
      <w:r w:rsidR="00916E4D" w:rsidRPr="008900A2">
        <w:t xml:space="preserve"> for</w:t>
      </w:r>
      <w:r w:rsidR="003176DC" w:rsidRPr="008900A2">
        <w:t xml:space="preserve"> urban cluster and rural areas and anxiety via</w:t>
      </w:r>
      <w:r w:rsidR="00AA7420" w:rsidRPr="008900A2">
        <w:t xml:space="preserve"> </w:t>
      </w:r>
      <w:r w:rsidR="003176DC" w:rsidRPr="008900A2">
        <w:t xml:space="preserve">non-affirmation when both </w:t>
      </w:r>
      <w:r w:rsidR="00AA7420" w:rsidRPr="008900A2">
        <w:t>negative expectations of future discrimination and prejudice and increased rumination</w:t>
      </w:r>
      <w:r w:rsidRPr="008900A2">
        <w:t xml:space="preserve"> were added to the model</w:t>
      </w:r>
      <w:r w:rsidR="00AA7420" w:rsidRPr="008900A2">
        <w:t>.</w:t>
      </w:r>
      <w:r w:rsidR="00127770" w:rsidRPr="008900A2">
        <w:t xml:space="preserve"> </w:t>
      </w:r>
      <w:r w:rsidR="00B17D51" w:rsidRPr="008900A2">
        <w:t xml:space="preserve">Regarding suicidal ideation we saw </w:t>
      </w:r>
      <w:r w:rsidR="00916E4D" w:rsidRPr="008900A2">
        <w:t>indirect effects for urban cluste</w:t>
      </w:r>
      <w:r w:rsidR="00321597" w:rsidRPr="008900A2">
        <w:t xml:space="preserve">r </w:t>
      </w:r>
      <w:r w:rsidR="00CF2690" w:rsidRPr="008900A2">
        <w:t xml:space="preserve">and rural </w:t>
      </w:r>
      <w:r w:rsidR="00321597" w:rsidRPr="008900A2">
        <w:t>areas and suicidal ideation</w:t>
      </w:r>
      <w:r w:rsidR="005E1202" w:rsidRPr="008900A2">
        <w:t xml:space="preserve"> via discrimination and via</w:t>
      </w:r>
      <w:r w:rsidR="00321597" w:rsidRPr="008900A2">
        <w:t xml:space="preserve"> </w:t>
      </w:r>
      <w:r w:rsidR="006E4F83" w:rsidRPr="008900A2">
        <w:t xml:space="preserve">non-affirmation and internalized </w:t>
      </w:r>
      <w:r w:rsidR="00321597" w:rsidRPr="008900A2">
        <w:t xml:space="preserve">transphobia suggesting internalizing negative messages and experiences </w:t>
      </w:r>
      <w:r w:rsidR="00127770" w:rsidRPr="008900A2">
        <w:t xml:space="preserve">surrounding gender identity may increase experiences of suicidal ideation. </w:t>
      </w:r>
      <w:r w:rsidR="00AA7420" w:rsidRPr="008900A2">
        <w:t>Finally,</w:t>
      </w:r>
      <w:r w:rsidR="00564F0B" w:rsidRPr="008900A2">
        <w:t xml:space="preserve"> we found</w:t>
      </w:r>
      <w:r w:rsidR="00AA7420" w:rsidRPr="008900A2">
        <w:t xml:space="preserve"> </w:t>
      </w:r>
      <w:r w:rsidR="003176DC" w:rsidRPr="008900A2">
        <w:t>an indirect effect between urban cluster</w:t>
      </w:r>
      <w:r w:rsidR="00AA7420" w:rsidRPr="008900A2">
        <w:t xml:space="preserve"> </w:t>
      </w:r>
      <w:r w:rsidR="00564F0B" w:rsidRPr="008900A2">
        <w:t xml:space="preserve">and depression via negative expectations and </w:t>
      </w:r>
      <w:r w:rsidR="005177BF">
        <w:t>via discrimination</w:t>
      </w:r>
      <w:r w:rsidR="00564F0B" w:rsidRPr="008900A2">
        <w:t xml:space="preserve">. </w:t>
      </w:r>
      <w:r w:rsidR="002D31A2" w:rsidRPr="008900A2">
        <w:t xml:space="preserve">Although </w:t>
      </w:r>
      <w:r w:rsidR="00AA7420" w:rsidRPr="008900A2">
        <w:t xml:space="preserve">it is not entirely clear why discrimination </w:t>
      </w:r>
      <w:r w:rsidR="00564F0B" w:rsidRPr="008900A2">
        <w:t xml:space="preserve">is </w:t>
      </w:r>
      <w:r w:rsidRPr="008900A2">
        <w:t xml:space="preserve">more salient </w:t>
      </w:r>
      <w:r w:rsidR="00270B4C" w:rsidRPr="008900A2">
        <w:t xml:space="preserve">and influential </w:t>
      </w:r>
      <w:r w:rsidRPr="008900A2">
        <w:t xml:space="preserve">for urban cluster areas, </w:t>
      </w:r>
      <w:r w:rsidR="00270B4C" w:rsidRPr="008900A2">
        <w:t>it could be due to a lack of strong community ties, either with the broader community or TGD communities, other members of urban cluster areas may be more likely to engage in overt discrimination against TGD individuals due to a lower perceived risk of repercussions (e.g.</w:t>
      </w:r>
      <w:r w:rsidR="001C5712" w:rsidRPr="008900A2">
        <w:t>,</w:t>
      </w:r>
      <w:r w:rsidR="00270B4C" w:rsidRPr="008900A2">
        <w:t xml:space="preserve"> in a small town people may be less likely to engage in overt discrimination due to fear of repercussions or social exclusion).</w:t>
      </w:r>
      <w:r w:rsidR="00564F0B" w:rsidRPr="008900A2">
        <w:t xml:space="preserve"> Relatedly, experiences of negative expectations may be more salient and influential for urban cluster areas due to increased experiences of marginalization stressors more broadly. It is likely that more experiences of gender-related rejection, discrimination, non-affirmation, and victimization would lead to a person experiencing more negative expectations that these events would happen in the future.</w:t>
      </w:r>
      <w:r w:rsidR="00321A9D" w:rsidRPr="008900A2">
        <w:t xml:space="preserve"> </w:t>
      </w:r>
      <w:r w:rsidR="00665FE1" w:rsidRPr="008900A2">
        <w:t xml:space="preserve">As we see in these results, more experiences of these distal marginalization stressors often </w:t>
      </w:r>
      <w:r w:rsidR="006C2DD0" w:rsidRPr="008900A2">
        <w:t>lead</w:t>
      </w:r>
      <w:r w:rsidR="00665FE1" w:rsidRPr="008900A2">
        <w:t xml:space="preserve"> to higher levels of depressive symptoms. </w:t>
      </w:r>
    </w:p>
    <w:p w14:paraId="13751BA4" w14:textId="66C26EB8" w:rsidR="0067437D" w:rsidRPr="008900A2" w:rsidRDefault="00564F0B" w:rsidP="00AF1662">
      <w:pPr>
        <w:spacing w:after="0" w:line="480" w:lineRule="auto"/>
      </w:pPr>
      <w:r w:rsidRPr="008900A2">
        <w:tab/>
      </w:r>
      <w:r w:rsidR="006E4F75" w:rsidRPr="008900A2">
        <w:t>Interesting</w:t>
      </w:r>
      <w:r w:rsidR="00796319" w:rsidRPr="008900A2">
        <w:t>ly</w:t>
      </w:r>
      <w:r w:rsidR="006E4F75" w:rsidRPr="008900A2">
        <w:t>, our findings did not support our hypothesis that ther</w:t>
      </w:r>
      <w:r w:rsidR="0067437D" w:rsidRPr="008900A2">
        <w:t>e</w:t>
      </w:r>
      <w:r w:rsidR="006E4F75" w:rsidRPr="008900A2">
        <w:t xml:space="preserve"> would be differences between non-urban and urban people on feelings of gender pride. One possible explanation for this finding is that</w:t>
      </w:r>
      <w:r w:rsidR="00424EFF">
        <w:t>,</w:t>
      </w:r>
      <w:r w:rsidR="006E4F75" w:rsidRPr="008900A2">
        <w:t xml:space="preserve"> despite non-urban peoples’ experiences of discrimination, living in a smaller community often offers alternative types of </w:t>
      </w:r>
      <w:r w:rsidR="001A1E73" w:rsidRPr="008900A2">
        <w:t xml:space="preserve">pride </w:t>
      </w:r>
      <w:r w:rsidR="006E4F75" w:rsidRPr="008900A2">
        <w:t>based on other pieces of their identity.</w:t>
      </w:r>
      <w:r w:rsidR="00534E05" w:rsidRPr="008900A2">
        <w:t xml:space="preserve"> </w:t>
      </w:r>
      <w:r w:rsidR="001A1E73" w:rsidRPr="008900A2">
        <w:t>As we have argued elsewhere</w:t>
      </w:r>
      <w:r w:rsidR="00AA5732" w:rsidRPr="008900A2">
        <w:t xml:space="preserve"> (</w:t>
      </w:r>
      <w:r w:rsidR="009702DB">
        <w:t xml:space="preserve">Mocarski et al., </w:t>
      </w:r>
      <w:r w:rsidR="00A12807">
        <w:t>2019</w:t>
      </w:r>
      <w:r w:rsidR="00AA5732" w:rsidRPr="008900A2">
        <w:t>)</w:t>
      </w:r>
      <w:r w:rsidR="001A1E73" w:rsidRPr="008900A2">
        <w:t>, a full understanding of gender identity requires consideration of gender within context such as in Bronfenbrenner’s Socio</w:t>
      </w:r>
      <w:r w:rsidR="00C72722" w:rsidRPr="008900A2">
        <w:t>-</w:t>
      </w:r>
      <w:r w:rsidR="001A1E73" w:rsidRPr="008900A2">
        <w:t>Ecological</w:t>
      </w:r>
      <w:r w:rsidR="00534E05" w:rsidRPr="008900A2">
        <w:t xml:space="preserve"> Model</w:t>
      </w:r>
      <w:r w:rsidR="001B3C27" w:rsidRPr="008900A2">
        <w:t xml:space="preserve"> (SEM)</w:t>
      </w:r>
      <w:r w:rsidR="00534E05" w:rsidRPr="008900A2">
        <w:t>, allow</w:t>
      </w:r>
      <w:r w:rsidR="001A1E73" w:rsidRPr="008900A2">
        <w:t>ing</w:t>
      </w:r>
      <w:r w:rsidR="00534E05" w:rsidRPr="008900A2">
        <w:t xml:space="preserve"> us to situate the ways that TGD health are influenced by a variety of social determinants and buffering factors. </w:t>
      </w:r>
      <w:r w:rsidR="001B3C27" w:rsidRPr="008900A2">
        <w:t>In a rural local</w:t>
      </w:r>
      <w:r w:rsidR="001A1E73" w:rsidRPr="008900A2">
        <w:t>e</w:t>
      </w:r>
      <w:r w:rsidR="001B3C27" w:rsidRPr="008900A2">
        <w:t xml:space="preserve">, the </w:t>
      </w:r>
      <w:r w:rsidR="00B230E1" w:rsidRPr="008900A2">
        <w:t xml:space="preserve">variable nature of hegemonic understandings </w:t>
      </w:r>
      <w:r w:rsidR="001A1E73" w:rsidRPr="008900A2">
        <w:t xml:space="preserve">of gender </w:t>
      </w:r>
      <w:r w:rsidR="00B230E1" w:rsidRPr="008900A2">
        <w:t xml:space="preserve">are on display as an out TGD person would be more visible than in a more populace space. Furthermore, given the interconnected nature of rural communities, the community would have reason to interact with TGD community members on a regular basis, thereby complicating the hegemonic understanding of a collapsed </w:t>
      </w:r>
      <w:r w:rsidR="001A1E73" w:rsidRPr="008900A2">
        <w:t xml:space="preserve">binary </w:t>
      </w:r>
      <w:r w:rsidR="00B230E1" w:rsidRPr="008900A2">
        <w:t xml:space="preserve">gender. </w:t>
      </w:r>
      <w:r w:rsidR="00501014" w:rsidRPr="008900A2">
        <w:t xml:space="preserve">In short, the outer bands of the SEM would have personal experience with TGD </w:t>
      </w:r>
      <w:r w:rsidR="008C08CD" w:rsidRPr="008900A2">
        <w:t>people because</w:t>
      </w:r>
      <w:r w:rsidR="00501014" w:rsidRPr="008900A2">
        <w:t xml:space="preserve"> they would be unavoidable if out in a community smaller than 2500 people. Conversely, in an urban cluster, there is enough people to be </w:t>
      </w:r>
      <w:r w:rsidR="00C72722" w:rsidRPr="008900A2">
        <w:t>unaware of</w:t>
      </w:r>
      <w:r w:rsidR="00501014" w:rsidRPr="008900A2">
        <w:t xml:space="preserve"> those </w:t>
      </w:r>
      <w:r w:rsidR="008C08CD" w:rsidRPr="008900A2">
        <w:t>who</w:t>
      </w:r>
      <w:r w:rsidR="00501014" w:rsidRPr="008900A2">
        <w:t xml:space="preserve"> are out, as they would not be </w:t>
      </w:r>
      <w:r w:rsidR="001A1E73" w:rsidRPr="008900A2">
        <w:t>integral</w:t>
      </w:r>
      <w:r w:rsidR="00501014" w:rsidRPr="008900A2">
        <w:t xml:space="preserve"> to all </w:t>
      </w:r>
      <w:r w:rsidR="008C08CD" w:rsidRPr="008900A2">
        <w:t>community</w:t>
      </w:r>
      <w:r w:rsidR="00501014" w:rsidRPr="008900A2">
        <w:t xml:space="preserve"> members’ lives. </w:t>
      </w:r>
      <w:r w:rsidR="00BB4DE4" w:rsidRPr="008900A2">
        <w:t xml:space="preserve">Another possible explanation is that due to a small rural sample we did not have the power sufficient to test potential differences. </w:t>
      </w:r>
      <w:r w:rsidR="002D31A2" w:rsidRPr="008900A2">
        <w:t xml:space="preserve">It also is possible that there are more biased attitudes towards TGD people in rural areas as other research has shown, but perhaps the lack of anonymity in rural areas prevents people from overtly expressing these sentiments. </w:t>
      </w:r>
    </w:p>
    <w:p w14:paraId="76AA4A8D" w14:textId="6EB1615B" w:rsidR="009114B9" w:rsidRPr="008900A2" w:rsidRDefault="009114B9" w:rsidP="00D13F7C">
      <w:pPr>
        <w:shd w:val="clear" w:color="auto" w:fill="FFFFFF"/>
        <w:spacing w:line="480" w:lineRule="auto"/>
      </w:pPr>
      <w:r w:rsidRPr="008900A2">
        <w:tab/>
        <w:t xml:space="preserve">This study extends the current literature as there have been no studies </w:t>
      </w:r>
      <w:r w:rsidR="00DF76AE" w:rsidRPr="008900A2">
        <w:t xml:space="preserve">that </w:t>
      </w:r>
      <w:r w:rsidRPr="008900A2">
        <w:t xml:space="preserve">have compared rates of anxiety, depression, and </w:t>
      </w:r>
      <w:r w:rsidR="00617222" w:rsidRPr="008900A2">
        <w:t xml:space="preserve">marginalization </w:t>
      </w:r>
      <w:r w:rsidRPr="008900A2">
        <w:t>stressors between</w:t>
      </w:r>
      <w:r w:rsidR="009B4591" w:rsidRPr="008900A2">
        <w:t xml:space="preserve"> non-urban</w:t>
      </w:r>
      <w:r w:rsidRPr="008900A2">
        <w:t xml:space="preserve"> and urban </w:t>
      </w:r>
      <w:r w:rsidR="00EB4230" w:rsidRPr="008900A2">
        <w:t>TGD</w:t>
      </w:r>
      <w:r w:rsidRPr="008900A2">
        <w:t xml:space="preserve"> people. </w:t>
      </w:r>
      <w:r w:rsidR="00D13F7C" w:rsidRPr="008900A2">
        <w:rPr>
          <w:color w:val="292B2C"/>
        </w:rPr>
        <w:t>Previous research has looked at rural/urban disparities in rates of mental health disorders, however, this research has only been conducted with presumably cisgender participants</w:t>
      </w:r>
      <w:r w:rsidR="00133F49" w:rsidRPr="008900A2">
        <w:rPr>
          <w:color w:val="292B2C"/>
        </w:rPr>
        <w:t xml:space="preserve"> (Gamm &amp; Pittman, 2010)</w:t>
      </w:r>
      <w:r w:rsidR="00D13F7C" w:rsidRPr="008900A2">
        <w:rPr>
          <w:color w:val="292B2C"/>
        </w:rPr>
        <w:t xml:space="preserve">. </w:t>
      </w:r>
      <w:r w:rsidR="00D13F7C" w:rsidRPr="008900A2">
        <w:t xml:space="preserve">Further, those studies that have focused on LGBT communities have examined these communities broadly and together. </w:t>
      </w:r>
      <w:r w:rsidRPr="008900A2">
        <w:t xml:space="preserve">These results reveal the need </w:t>
      </w:r>
      <w:r w:rsidR="002D464D" w:rsidRPr="008900A2">
        <w:t xml:space="preserve">for additional research examining mental health disparities in urban versus non-urban </w:t>
      </w:r>
      <w:r w:rsidR="00EB4230" w:rsidRPr="008900A2">
        <w:t>TGD</w:t>
      </w:r>
      <w:r w:rsidR="002D464D" w:rsidRPr="008900A2">
        <w:t xml:space="preserve"> populations. </w:t>
      </w:r>
      <w:r w:rsidR="00253E20" w:rsidRPr="008900A2">
        <w:t xml:space="preserve">Although </w:t>
      </w:r>
      <w:r w:rsidR="002D464D" w:rsidRPr="008900A2">
        <w:t xml:space="preserve">all areas experienced </w:t>
      </w:r>
      <w:r w:rsidR="00D13F7C" w:rsidRPr="008900A2">
        <w:t xml:space="preserve">high levels of distress, </w:t>
      </w:r>
      <w:r w:rsidR="002D464D" w:rsidRPr="008900A2">
        <w:t xml:space="preserve">people living in urban cluster areas appear to be experiencing the broadest and most severe psychological distress. </w:t>
      </w:r>
      <w:r w:rsidR="00F5138D" w:rsidRPr="008900A2">
        <w:t xml:space="preserve">Finally, these results have implications </w:t>
      </w:r>
      <w:r w:rsidR="00121EFF" w:rsidRPr="008900A2">
        <w:t>related to</w:t>
      </w:r>
      <w:r w:rsidR="00F5138D" w:rsidRPr="008900A2">
        <w:t xml:space="preserve"> the need for more gender-affirming mental health care in non-urban areas. Gender affirming mental health care in non-urban areas is often scarce and providing these services to TGD people could reduce the rates of depression, anxiety, and suicide in these communities. </w:t>
      </w:r>
    </w:p>
    <w:p w14:paraId="590D3F68" w14:textId="5218511D" w:rsidR="00F11B9E" w:rsidRPr="008900A2" w:rsidRDefault="002D464D" w:rsidP="00AF1662">
      <w:pPr>
        <w:spacing w:after="0" w:line="480" w:lineRule="auto"/>
      </w:pPr>
      <w:r w:rsidRPr="008900A2">
        <w:tab/>
        <w:t>Limitations of the present study include lack of specificity within the urban cluster group,</w:t>
      </w:r>
      <w:r w:rsidR="003E4DD9" w:rsidRPr="008900A2">
        <w:t xml:space="preserve"> </w:t>
      </w:r>
      <w:r w:rsidRPr="008900A2">
        <w:t>a small rural group</w:t>
      </w:r>
      <w:r w:rsidR="003E4DD9" w:rsidRPr="008900A2">
        <w:t>, and limited measurement of protective factors</w:t>
      </w:r>
      <w:r w:rsidRPr="008900A2">
        <w:t>.</w:t>
      </w:r>
      <w:r w:rsidR="00BC63F7" w:rsidRPr="008900A2">
        <w:t xml:space="preserve"> </w:t>
      </w:r>
      <w:r w:rsidRPr="008900A2">
        <w:t xml:space="preserve">Furthermore, we asked participants to self-select the area in which they lived, providing a large span of population for the urban cluster (between 2,500 and 50,000). </w:t>
      </w:r>
      <w:r w:rsidR="00AA5732" w:rsidRPr="008900A2">
        <w:t xml:space="preserve">Although the U.S. Census Bureau categories have the advantage of being standardized, they may </w:t>
      </w:r>
      <w:r w:rsidR="00FF2B96" w:rsidRPr="008900A2">
        <w:t xml:space="preserve">mask diversity of experiences with the categories. </w:t>
      </w:r>
      <w:r w:rsidRPr="008900A2">
        <w:t>In the future, we may elect to collect additional data including parts of the participants’ zip codes to allow for more specificity about their population size. We also had a small rural group with just 25 people. This may have been attributable to our missing data or lack of saturation in the initial sampling.</w:t>
      </w:r>
      <w:r w:rsidR="00253E20" w:rsidRPr="008900A2">
        <w:t xml:space="preserve"> It also is true that not all rural areas are </w:t>
      </w:r>
      <w:r w:rsidR="00321A9D" w:rsidRPr="008900A2">
        <w:t>equivalent,</w:t>
      </w:r>
      <w:r w:rsidR="00D24852" w:rsidRPr="008900A2">
        <w:t xml:space="preserve"> and it may be beneficial for future research to also collect information about access to resources and supports in the area to better describe the quality of the environments TGD people are living in beyond population size information.</w:t>
      </w:r>
      <w:r w:rsidR="00617222" w:rsidRPr="008900A2">
        <w:t xml:space="preserve"> </w:t>
      </w:r>
      <w:r w:rsidR="003E4DD9" w:rsidRPr="008900A2">
        <w:t xml:space="preserve">Measurement of protective factors was limited by the poor internal consistency of some of the subscales of the GMSR and GIRRS. It is unclear whether this was a problem just within our sample or whether further research is needed to establish more reliable measures of protective factors. </w:t>
      </w:r>
      <w:r w:rsidR="006A149F" w:rsidRPr="008900A2">
        <w:t xml:space="preserve">We also did not find any differences between rural and urban participants on suicidal ideation which may be due to the way in which we measured suicidal ideation. </w:t>
      </w:r>
    </w:p>
    <w:p w14:paraId="7EDB9F5D" w14:textId="73D641E1" w:rsidR="00604B47" w:rsidRPr="008900A2" w:rsidRDefault="00F11B9E" w:rsidP="00AF1662">
      <w:pPr>
        <w:spacing w:after="0" w:line="480" w:lineRule="auto"/>
        <w:ind w:firstLine="720"/>
      </w:pPr>
      <w:r w:rsidRPr="008900A2">
        <w:t>Future research should continue to examine</w:t>
      </w:r>
      <w:r w:rsidR="00353EC9" w:rsidRPr="008900A2">
        <w:t xml:space="preserve"> </w:t>
      </w:r>
      <w:r w:rsidR="00EB4230" w:rsidRPr="008900A2">
        <w:t>TGD</w:t>
      </w:r>
      <w:r w:rsidRPr="008900A2">
        <w:t xml:space="preserve"> people separately from </w:t>
      </w:r>
      <w:r w:rsidR="00D24852" w:rsidRPr="008900A2">
        <w:t>LGB cisgender people</w:t>
      </w:r>
      <w:r w:rsidRPr="008900A2">
        <w:t xml:space="preserve"> to gain a better understanding of the unique way in which </w:t>
      </w:r>
      <w:r w:rsidR="00617222" w:rsidRPr="008900A2">
        <w:t xml:space="preserve">marginalization </w:t>
      </w:r>
      <w:r w:rsidRPr="008900A2">
        <w:t>stress impacts depression and anxiety.</w:t>
      </w:r>
      <w:r w:rsidR="00353EC9" w:rsidRPr="008900A2">
        <w:t xml:space="preserve"> </w:t>
      </w:r>
      <w:r w:rsidR="00547FED" w:rsidRPr="008900A2">
        <w:t>This study demonstrates that area of residence is an important factor in TGD health and health disparities.</w:t>
      </w:r>
      <w:r w:rsidR="00604B47" w:rsidRPr="008900A2">
        <w:t xml:space="preserve"> A key result from this study is that the urban cluster group experienced greater levels of anxiety, depression, and marginalization stressors than the other two groups on almost all variables.</w:t>
      </w:r>
      <w:r w:rsidR="00547FED" w:rsidRPr="008900A2">
        <w:t xml:space="preserve"> Rural life offers many benefits such as being a member of a tight-knit community (e.g., </w:t>
      </w:r>
      <w:r w:rsidR="0080255A" w:rsidRPr="008900A2">
        <w:t>Hastings &amp; Cohn,</w:t>
      </w:r>
      <w:r w:rsidR="00820DD6" w:rsidRPr="008900A2">
        <w:t xml:space="preserve"> </w:t>
      </w:r>
      <w:r w:rsidR="0080255A" w:rsidRPr="008900A2">
        <w:t>2013</w:t>
      </w:r>
      <w:r w:rsidR="00547FED" w:rsidRPr="008900A2">
        <w:t xml:space="preserve">) that may extend to TGD people. Urban life offers TGD </w:t>
      </w:r>
      <w:r w:rsidR="00D24852" w:rsidRPr="008900A2">
        <w:t xml:space="preserve">people </w:t>
      </w:r>
      <w:r w:rsidR="00547FED" w:rsidRPr="008900A2">
        <w:t>potentially the most social support from other TGD people as well as greater likelihood of access to affirming care. Members of the TGD community who live in urban clusters may lack the benefits of either rural or urban life, increasing risks and distress without affirming com</w:t>
      </w:r>
      <w:r w:rsidR="00604B47" w:rsidRPr="008900A2">
        <w:t xml:space="preserve">munity or health care options. </w:t>
      </w:r>
    </w:p>
    <w:p w14:paraId="11612897" w14:textId="7A8F98D0" w:rsidR="00F5138D" w:rsidRPr="008900A2" w:rsidRDefault="0084174E" w:rsidP="00AF1662">
      <w:pPr>
        <w:spacing w:after="0" w:line="480" w:lineRule="auto"/>
        <w:ind w:firstLine="720"/>
      </w:pPr>
      <w:r w:rsidRPr="008900A2">
        <w:t>Overall, t</w:t>
      </w:r>
      <w:r w:rsidR="00604B47" w:rsidRPr="008900A2">
        <w:t>his study expanded the literature on the importance of place of residence as a context for health disparities. Just as s</w:t>
      </w:r>
      <w:r w:rsidR="005E6FB9" w:rsidRPr="008900A2">
        <w:t xml:space="preserve">tates with protections such as workplace anti-discrimination and hate crime laws that protect LGBT </w:t>
      </w:r>
      <w:r w:rsidR="00604B47" w:rsidRPr="008900A2">
        <w:t>people</w:t>
      </w:r>
      <w:r w:rsidR="005E6FB9" w:rsidRPr="008900A2">
        <w:t xml:space="preserve"> are associated with improved mental health outcomes for LGBT communities (</w:t>
      </w:r>
      <w:proofErr w:type="spellStart"/>
      <w:r w:rsidR="005E6FB9" w:rsidRPr="008900A2">
        <w:t>Blosnich</w:t>
      </w:r>
      <w:proofErr w:type="spellEnd"/>
      <w:r w:rsidR="005E6FB9" w:rsidRPr="008900A2">
        <w:t xml:space="preserve"> et al., 2016)</w:t>
      </w:r>
      <w:r w:rsidR="00604B47" w:rsidRPr="008900A2">
        <w:t xml:space="preserve">, area of residence may </w:t>
      </w:r>
      <w:r w:rsidR="00DF7BEA" w:rsidRPr="008900A2">
        <w:t>play</w:t>
      </w:r>
      <w:r w:rsidR="00A85616" w:rsidRPr="008900A2">
        <w:t xml:space="preserve"> an important role as well. </w:t>
      </w:r>
      <w:r w:rsidR="00604B47" w:rsidRPr="008900A2">
        <w:t xml:space="preserve">Future </w:t>
      </w:r>
      <w:r w:rsidR="00A85616" w:rsidRPr="008900A2">
        <w:t>research should consider how</w:t>
      </w:r>
      <w:r w:rsidR="00604B47" w:rsidRPr="008900A2">
        <w:t xml:space="preserve"> </w:t>
      </w:r>
      <w:r w:rsidR="00A85616" w:rsidRPr="008900A2">
        <w:t xml:space="preserve">health care providers should adjust their approach to meet the needs of TGD individuals in communities of various sizes. </w:t>
      </w:r>
    </w:p>
    <w:p w14:paraId="304A51AD" w14:textId="27851526" w:rsidR="0084174E" w:rsidRPr="008900A2" w:rsidRDefault="0084174E" w:rsidP="0084174E">
      <w:pPr>
        <w:spacing w:after="0" w:line="480" w:lineRule="auto"/>
        <w:rPr>
          <w:b/>
          <w:bCs w:val="0"/>
        </w:rPr>
      </w:pPr>
      <w:r w:rsidRPr="008900A2">
        <w:rPr>
          <w:b/>
          <w:bCs w:val="0"/>
        </w:rPr>
        <w:t>Conclusions</w:t>
      </w:r>
    </w:p>
    <w:p w14:paraId="37892693" w14:textId="3B8CDB50" w:rsidR="0084174E" w:rsidRPr="008900A2" w:rsidRDefault="0084174E" w:rsidP="0084174E">
      <w:pPr>
        <w:spacing w:after="0" w:line="480" w:lineRule="auto"/>
      </w:pPr>
      <w:r w:rsidRPr="008900A2">
        <w:tab/>
        <w:t xml:space="preserve">Many TGD people will encounter marginalization </w:t>
      </w:r>
      <w:proofErr w:type="gramStart"/>
      <w:r w:rsidRPr="008900A2">
        <w:t>stressors</w:t>
      </w:r>
      <w:proofErr w:type="gramEnd"/>
      <w:r w:rsidRPr="008900A2">
        <w:t xml:space="preserve"> and this is associated with greater psychological distress, however, this distress may be heightened in non-urban areas. </w:t>
      </w:r>
      <w:r w:rsidR="00156BEA" w:rsidRPr="008900A2">
        <w:t>TGD people in rural areas may experience surprising benefits from the close</w:t>
      </w:r>
      <w:r w:rsidR="00C72722" w:rsidRPr="008900A2">
        <w:t>-</w:t>
      </w:r>
      <w:r w:rsidR="00156BEA" w:rsidRPr="008900A2">
        <w:t xml:space="preserve">knit community, even if they are more isolated from TGD community support available to those living in urban areas. </w:t>
      </w:r>
      <w:r w:rsidRPr="008900A2">
        <w:t xml:space="preserve">Distal marginalization stressors, particularly non-affirmation, likely warrant attention particularly in non-urban areas where effects of non-affirmation </w:t>
      </w:r>
      <w:r w:rsidR="00AD1D88" w:rsidRPr="008900A2">
        <w:t>appear</w:t>
      </w:r>
      <w:r w:rsidRPr="008900A2">
        <w:t xml:space="preserve"> to be particularly salient. </w:t>
      </w:r>
    </w:p>
    <w:p w14:paraId="2264A0D2" w14:textId="77777777" w:rsidR="00DC5139" w:rsidRPr="008900A2" w:rsidRDefault="00DC5139">
      <w:r w:rsidRPr="008900A2">
        <w:br w:type="page"/>
      </w:r>
    </w:p>
    <w:p w14:paraId="51AD8B37" w14:textId="77777777" w:rsidR="00C72722" w:rsidRPr="008900A2" w:rsidRDefault="00C72722" w:rsidP="00C72722">
      <w:pPr>
        <w:spacing w:after="0" w:line="480" w:lineRule="auto"/>
        <w:ind w:firstLine="720"/>
        <w:jc w:val="center"/>
        <w:rPr>
          <w:b/>
        </w:rPr>
      </w:pPr>
      <w:r w:rsidRPr="008900A2">
        <w:rPr>
          <w:b/>
        </w:rPr>
        <w:t>References</w:t>
      </w:r>
    </w:p>
    <w:p w14:paraId="09C29C4B" w14:textId="4D140D3E" w:rsidR="00C72722" w:rsidRPr="008900A2" w:rsidRDefault="00C72722" w:rsidP="00C72722">
      <w:pPr>
        <w:pStyle w:val="Bibliography"/>
      </w:pPr>
      <w:r w:rsidRPr="008900A2">
        <w:t xml:space="preserve">Abbott, M. J., &amp; </w:t>
      </w:r>
      <w:proofErr w:type="spellStart"/>
      <w:r w:rsidRPr="008900A2">
        <w:t>Rapee</w:t>
      </w:r>
      <w:proofErr w:type="spellEnd"/>
      <w:r w:rsidRPr="008900A2">
        <w:t>, R. M. (2004). Post-</w:t>
      </w:r>
      <w:r w:rsidR="00EC45A1" w:rsidRPr="008900A2">
        <w:t>event rumination</w:t>
      </w:r>
      <w:r w:rsidRPr="008900A2">
        <w:t xml:space="preserve"> and </w:t>
      </w:r>
      <w:r w:rsidR="00EC45A1" w:rsidRPr="008900A2">
        <w:t>negative self-appraisal</w:t>
      </w:r>
      <w:r w:rsidRPr="008900A2">
        <w:t xml:space="preserve"> in </w:t>
      </w:r>
      <w:r w:rsidR="00EC45A1" w:rsidRPr="008900A2">
        <w:t>social phobia before</w:t>
      </w:r>
      <w:r w:rsidRPr="008900A2">
        <w:t xml:space="preserve"> and </w:t>
      </w:r>
      <w:r w:rsidR="00EC45A1" w:rsidRPr="008900A2">
        <w:t>after tr</w:t>
      </w:r>
      <w:r w:rsidRPr="008900A2">
        <w:t xml:space="preserve">eatment. </w:t>
      </w:r>
      <w:r w:rsidRPr="008900A2">
        <w:rPr>
          <w:i/>
          <w:iCs/>
        </w:rPr>
        <w:t>Journal of Abnormal Psychology</w:t>
      </w:r>
      <w:r w:rsidRPr="008900A2">
        <w:t xml:space="preserve">, </w:t>
      </w:r>
      <w:r w:rsidRPr="008900A2">
        <w:rPr>
          <w:i/>
          <w:iCs/>
        </w:rPr>
        <w:t>113</w:t>
      </w:r>
      <w:r w:rsidRPr="008900A2">
        <w:t>(1), 136–144. https://doi.org/10.1037/0021-843X.113.1.136</w:t>
      </w:r>
    </w:p>
    <w:p w14:paraId="09F29E86" w14:textId="77777777" w:rsidR="00C72722" w:rsidRPr="008900A2" w:rsidRDefault="00C72722" w:rsidP="00C72722">
      <w:pPr>
        <w:spacing w:line="480" w:lineRule="auto"/>
        <w:ind w:left="720" w:hanging="720"/>
      </w:pPr>
      <w:r w:rsidRPr="008900A2">
        <w:t>American Psychological Association. (2015). Key Terms and Concepts in Understanding Gender Diversity and Sexual Orientation Among Students. Retrieved from https://www.apa.org/pi/lgbt/resources/sexuality-definitions.pdf</w:t>
      </w:r>
    </w:p>
    <w:p w14:paraId="3BB833C7" w14:textId="77777777" w:rsidR="00C72722" w:rsidRPr="008900A2" w:rsidRDefault="00C72722" w:rsidP="00C72722">
      <w:pPr>
        <w:spacing w:line="480" w:lineRule="auto"/>
        <w:ind w:left="720" w:hanging="720"/>
      </w:pPr>
      <w:r w:rsidRPr="008900A2">
        <w:t xml:space="preserve">Barlow, D. H., Allen, L. B., &amp; Choate, M. L. (2004). Toward a unified treatment for emotional disorders. </w:t>
      </w:r>
      <w:r w:rsidRPr="008900A2">
        <w:rPr>
          <w:i/>
          <w:iCs/>
        </w:rPr>
        <w:t>Behavior Therapy</w:t>
      </w:r>
      <w:r w:rsidRPr="008900A2">
        <w:t xml:space="preserve">, </w:t>
      </w:r>
      <w:r w:rsidRPr="008900A2">
        <w:rPr>
          <w:i/>
          <w:iCs/>
        </w:rPr>
        <w:t>35</w:t>
      </w:r>
      <w:r w:rsidRPr="008900A2">
        <w:t>(2), 205–230. https://doi.org/10.1016/S0005-7894(04)80036-4</w:t>
      </w:r>
    </w:p>
    <w:p w14:paraId="24A71C81" w14:textId="77777777" w:rsidR="00C72722" w:rsidRPr="008900A2" w:rsidRDefault="00C72722" w:rsidP="00C72722">
      <w:pPr>
        <w:pStyle w:val="Bibliography"/>
      </w:pPr>
      <w:r w:rsidRPr="008900A2">
        <w:t xml:space="preserve">Bauer, G. (2012, February). </w:t>
      </w:r>
      <w:r w:rsidRPr="008900A2">
        <w:rPr>
          <w:i/>
          <w:iCs/>
        </w:rPr>
        <w:t>Making Sure Everyone Counts: Considerations for Inclusion, Identification and Analysis of Transgender and Transsexual Participants in Health Surveys.</w:t>
      </w:r>
      <w:r w:rsidRPr="008900A2">
        <w:t xml:space="preserve"> Retrieved from https://open.library.ubc.ca/cIRcle/collections/</w:t>
      </w:r>
    </w:p>
    <w:p w14:paraId="39FD5815" w14:textId="77777777" w:rsidR="00C72722" w:rsidRPr="008900A2" w:rsidRDefault="00C72722" w:rsidP="00C72722">
      <w:pPr>
        <w:pStyle w:val="Bibliography"/>
      </w:pPr>
      <w:r w:rsidRPr="008900A2">
        <w:tab/>
        <w:t>facultyresearchandpublications/52383/items/1.0132676</w:t>
      </w:r>
    </w:p>
    <w:p w14:paraId="4728E197" w14:textId="77777777" w:rsidR="00C72722" w:rsidRPr="008900A2" w:rsidRDefault="00C72722" w:rsidP="00C72722">
      <w:pPr>
        <w:pStyle w:val="Bibliography"/>
      </w:pPr>
      <w:r w:rsidRPr="008900A2">
        <w:t xml:space="preserve">Bauer, G. R., </w:t>
      </w:r>
      <w:proofErr w:type="spellStart"/>
      <w:r w:rsidRPr="008900A2">
        <w:t>Scheim</w:t>
      </w:r>
      <w:proofErr w:type="spellEnd"/>
      <w:r w:rsidRPr="008900A2">
        <w:t xml:space="preserve">, A. I., Deutsch, M. B., &amp; Massarella, C. (2014). Reported Emergency Department Avoidance, Use, and Experiences of Transgender Persons in Ontario, Canada: Results </w:t>
      </w:r>
      <w:proofErr w:type="gramStart"/>
      <w:r w:rsidRPr="008900A2">
        <w:t>From</w:t>
      </w:r>
      <w:proofErr w:type="gramEnd"/>
      <w:r w:rsidRPr="008900A2">
        <w:t xml:space="preserve"> a Respondent-Driven Sampling Survey. </w:t>
      </w:r>
      <w:r w:rsidRPr="008900A2">
        <w:rPr>
          <w:i/>
          <w:iCs/>
        </w:rPr>
        <w:t>Annals of Emergency Medicine</w:t>
      </w:r>
      <w:r w:rsidRPr="008900A2">
        <w:t xml:space="preserve">, </w:t>
      </w:r>
      <w:r w:rsidRPr="008900A2">
        <w:rPr>
          <w:i/>
          <w:iCs/>
        </w:rPr>
        <w:t>63</w:t>
      </w:r>
      <w:r w:rsidRPr="008900A2">
        <w:t>(6), 713–720.e1. https://doi.org/10.1016/j.annemergmed.2013.09.027</w:t>
      </w:r>
    </w:p>
    <w:p w14:paraId="06632E08" w14:textId="37956110" w:rsidR="00C72722" w:rsidRPr="008900A2" w:rsidRDefault="00C72722" w:rsidP="00C72722">
      <w:pPr>
        <w:pStyle w:val="Bibliography"/>
      </w:pPr>
      <w:proofErr w:type="spellStart"/>
      <w:r w:rsidRPr="008900A2">
        <w:t>Bauerband</w:t>
      </w:r>
      <w:proofErr w:type="spellEnd"/>
      <w:r w:rsidRPr="008900A2">
        <w:t xml:space="preserve">, L. A., &amp; </w:t>
      </w:r>
      <w:proofErr w:type="spellStart"/>
      <w:r w:rsidRPr="008900A2">
        <w:t>Galupo</w:t>
      </w:r>
      <w:proofErr w:type="spellEnd"/>
      <w:r w:rsidRPr="008900A2">
        <w:t xml:space="preserve">, M. P. (2014). The Gender Identity Reflection and Rumination Scale: Development and </w:t>
      </w:r>
      <w:r w:rsidR="00EC45A1" w:rsidRPr="008900A2">
        <w:t>psychometric evaluation</w:t>
      </w:r>
      <w:r w:rsidRPr="008900A2">
        <w:t xml:space="preserve">. </w:t>
      </w:r>
      <w:r w:rsidRPr="008900A2">
        <w:rPr>
          <w:i/>
          <w:iCs/>
        </w:rPr>
        <w:t>Journal of Counseling &amp; Development</w:t>
      </w:r>
      <w:r w:rsidRPr="008900A2">
        <w:t xml:space="preserve">, </w:t>
      </w:r>
      <w:r w:rsidRPr="008900A2">
        <w:rPr>
          <w:i/>
          <w:iCs/>
        </w:rPr>
        <w:t>92</w:t>
      </w:r>
      <w:r w:rsidRPr="008900A2">
        <w:t>(2), 219–231. https://doi.org/10.1002/j.1556-6676.2014.00151.x</w:t>
      </w:r>
    </w:p>
    <w:p w14:paraId="25E9AA05" w14:textId="77777777" w:rsidR="00C72722" w:rsidRPr="008900A2" w:rsidRDefault="00C72722" w:rsidP="00C72722">
      <w:pPr>
        <w:pStyle w:val="Bibliography"/>
      </w:pPr>
      <w:proofErr w:type="spellStart"/>
      <w:r w:rsidRPr="008900A2">
        <w:t>Bazargan</w:t>
      </w:r>
      <w:proofErr w:type="spellEnd"/>
      <w:r w:rsidRPr="008900A2">
        <w:t xml:space="preserve">, M., &amp; Galvan, F. (2012). Perceived discrimination and depression among low-income Latina male-to-female transgender women. </w:t>
      </w:r>
      <w:r w:rsidRPr="008900A2">
        <w:rPr>
          <w:i/>
          <w:iCs/>
        </w:rPr>
        <w:t>BMC Public Health</w:t>
      </w:r>
      <w:r w:rsidRPr="008900A2">
        <w:t xml:space="preserve">, </w:t>
      </w:r>
      <w:r w:rsidRPr="008900A2">
        <w:rPr>
          <w:i/>
          <w:iCs/>
        </w:rPr>
        <w:t>12</w:t>
      </w:r>
      <w:r w:rsidRPr="008900A2">
        <w:t>(1), 663. https://doi.org/10.1186/1471-2458-12-663</w:t>
      </w:r>
    </w:p>
    <w:p w14:paraId="102C55BD" w14:textId="77777777" w:rsidR="00C72722" w:rsidRPr="008900A2" w:rsidRDefault="00C72722" w:rsidP="00C72722">
      <w:pPr>
        <w:pStyle w:val="Bibliography"/>
      </w:pPr>
      <w:r w:rsidRPr="008900A2">
        <w:t xml:space="preserve">Beck, A. T. (1967). </w:t>
      </w:r>
      <w:r w:rsidRPr="008900A2">
        <w:rPr>
          <w:i/>
          <w:iCs/>
        </w:rPr>
        <w:t>Depression: Clinical, experimental, and theoretical aspects</w:t>
      </w:r>
      <w:r w:rsidRPr="008900A2">
        <w:t>. University of Pennsylvania Press.</w:t>
      </w:r>
    </w:p>
    <w:p w14:paraId="0FE1F7EC" w14:textId="77777777" w:rsidR="00C72722" w:rsidRPr="008900A2" w:rsidRDefault="00C72722" w:rsidP="00C72722">
      <w:pPr>
        <w:pStyle w:val="Bibliography"/>
      </w:pPr>
      <w:r w:rsidRPr="008900A2">
        <w:t xml:space="preserve">Beck, A. T. (1979). </w:t>
      </w:r>
      <w:r w:rsidRPr="008900A2">
        <w:rPr>
          <w:i/>
          <w:iCs/>
        </w:rPr>
        <w:t>Cognitive therapy of depression</w:t>
      </w:r>
      <w:r w:rsidRPr="008900A2">
        <w:t>. Guilford press.</w:t>
      </w:r>
    </w:p>
    <w:p w14:paraId="6AF0DE6A" w14:textId="53D007BB" w:rsidR="00C72722" w:rsidRPr="008900A2" w:rsidRDefault="00C72722" w:rsidP="00C72722">
      <w:pPr>
        <w:spacing w:line="480" w:lineRule="auto"/>
        <w:ind w:left="720" w:hanging="720"/>
      </w:pPr>
      <w:r w:rsidRPr="008900A2">
        <w:t>Bentler, P. M. (1990). Comparative fit indexes in structural models. </w:t>
      </w:r>
      <w:r w:rsidRPr="008900A2">
        <w:rPr>
          <w:i/>
          <w:iCs/>
        </w:rPr>
        <w:t xml:space="preserve">Psychological </w:t>
      </w:r>
      <w:r w:rsidR="00EC45A1" w:rsidRPr="008900A2">
        <w:rPr>
          <w:i/>
          <w:iCs/>
        </w:rPr>
        <w:t>B</w:t>
      </w:r>
      <w:r w:rsidRPr="008900A2">
        <w:rPr>
          <w:i/>
          <w:iCs/>
        </w:rPr>
        <w:t>ulletin</w:t>
      </w:r>
      <w:r w:rsidRPr="008900A2">
        <w:t>, </w:t>
      </w:r>
      <w:r w:rsidRPr="008900A2">
        <w:rPr>
          <w:i/>
          <w:iCs/>
        </w:rPr>
        <w:t>107</w:t>
      </w:r>
      <w:r w:rsidRPr="008900A2">
        <w:t>(2), 238</w:t>
      </w:r>
      <w:r w:rsidR="00EC45A1" w:rsidRPr="008900A2">
        <w:t>-246</w:t>
      </w:r>
      <w:r w:rsidRPr="008900A2">
        <w:t xml:space="preserve">. </w:t>
      </w:r>
      <w:r w:rsidR="00EC45A1" w:rsidRPr="008900A2">
        <w:t>https://doi.org/</w:t>
      </w:r>
      <w:r w:rsidRPr="008900A2">
        <w:t>10.1037/0033-2909.107.2.238</w:t>
      </w:r>
    </w:p>
    <w:p w14:paraId="359185DD" w14:textId="0BC6EA2B" w:rsidR="00C72722" w:rsidRPr="008900A2" w:rsidRDefault="00C72722" w:rsidP="00C72722">
      <w:pPr>
        <w:pStyle w:val="Bibliography"/>
      </w:pPr>
      <w:r w:rsidRPr="008900A2">
        <w:t xml:space="preserve">Bockting, W. O., Miner, M. H., Romine, R. E. S., Hamilton, A., &amp; Coleman, E. (2013). Stigma, </w:t>
      </w:r>
      <w:r w:rsidR="00EC45A1" w:rsidRPr="008900A2">
        <w:t>mental health</w:t>
      </w:r>
      <w:r w:rsidRPr="008900A2">
        <w:t xml:space="preserve">, and </w:t>
      </w:r>
      <w:r w:rsidR="00EC45A1" w:rsidRPr="008900A2">
        <w:t>resilience</w:t>
      </w:r>
      <w:r w:rsidRPr="008900A2">
        <w:t xml:space="preserve"> in an </w:t>
      </w:r>
      <w:r w:rsidR="00EC45A1" w:rsidRPr="008900A2">
        <w:t>online sample</w:t>
      </w:r>
      <w:r w:rsidRPr="008900A2">
        <w:t xml:space="preserve"> of the US </w:t>
      </w:r>
      <w:r w:rsidR="00EC45A1" w:rsidRPr="008900A2">
        <w:t>transgender population</w:t>
      </w:r>
      <w:r w:rsidRPr="008900A2">
        <w:t xml:space="preserve">. </w:t>
      </w:r>
      <w:r w:rsidRPr="008900A2">
        <w:rPr>
          <w:i/>
          <w:iCs/>
        </w:rPr>
        <w:t>American Journal of Public Health</w:t>
      </w:r>
      <w:r w:rsidRPr="008900A2">
        <w:t xml:space="preserve">, </w:t>
      </w:r>
      <w:r w:rsidRPr="008900A2">
        <w:rPr>
          <w:i/>
          <w:iCs/>
        </w:rPr>
        <w:t>103</w:t>
      </w:r>
      <w:r w:rsidRPr="008900A2">
        <w:t xml:space="preserve">(5), 943–951. </w:t>
      </w:r>
      <w:hyperlink r:id="rId11" w:history="1">
        <w:r w:rsidRPr="008900A2">
          <w:rPr>
            <w:rStyle w:val="Hyperlink"/>
          </w:rPr>
          <w:t>https://doi.org/10.2105/AJPH.2013.301241</w:t>
        </w:r>
      </w:hyperlink>
    </w:p>
    <w:p w14:paraId="2AC944C8" w14:textId="0D13AED3" w:rsidR="00C72722" w:rsidRPr="008900A2" w:rsidRDefault="00C72722" w:rsidP="00C72722">
      <w:pPr>
        <w:spacing w:line="480" w:lineRule="auto"/>
        <w:ind w:left="720" w:hanging="720"/>
      </w:pPr>
      <w:proofErr w:type="spellStart"/>
      <w:r w:rsidRPr="008900A2">
        <w:t>Borgogna</w:t>
      </w:r>
      <w:proofErr w:type="spellEnd"/>
      <w:r w:rsidRPr="008900A2">
        <w:t>, N. C., McDermott, R. C., Aita, S. L., &amp; Kridel, M. M. (2018). Anxiety and depression across gender and sexual minorities: Implications for transgender, gender nonconforming, pansexual, demisexual, asexual, queer, and questioning individuals. </w:t>
      </w:r>
      <w:r w:rsidRPr="008900A2">
        <w:rPr>
          <w:i/>
          <w:iCs/>
        </w:rPr>
        <w:t>Psychology of Sexual Orientation and Gender Diversity</w:t>
      </w:r>
      <w:r w:rsidRPr="008900A2">
        <w:t>.</w:t>
      </w:r>
      <w:r w:rsidR="00EC45A1" w:rsidRPr="008900A2">
        <w:rPr>
          <w:rFonts w:eastAsia="Times New Roman"/>
          <w:i/>
          <w:iCs/>
          <w:color w:val="333333"/>
        </w:rPr>
        <w:t> 6</w:t>
      </w:r>
      <w:r w:rsidR="00EC45A1" w:rsidRPr="008900A2">
        <w:rPr>
          <w:rFonts w:eastAsia="Times New Roman"/>
          <w:color w:val="333333"/>
        </w:rPr>
        <w:t xml:space="preserve">(1), 54–63. </w:t>
      </w:r>
      <w:r w:rsidRPr="008900A2">
        <w:t>http://dx.doi.org/10.1037/sgd0000306</w:t>
      </w:r>
    </w:p>
    <w:p w14:paraId="066069CD" w14:textId="6ED463EB" w:rsidR="00C72722" w:rsidRPr="008900A2" w:rsidRDefault="00C72722" w:rsidP="00C72722">
      <w:pPr>
        <w:pStyle w:val="Bibliography"/>
      </w:pPr>
      <w:r w:rsidRPr="008900A2">
        <w:t>Bradford, J., Reisner, S. L., Honnold, J. A., &amp; Xavier, J. (2012). Experiences of Transgender-</w:t>
      </w:r>
      <w:r w:rsidR="00EC45A1" w:rsidRPr="008900A2">
        <w:t>related discrimination</w:t>
      </w:r>
      <w:r w:rsidRPr="008900A2">
        <w:t xml:space="preserve"> and </w:t>
      </w:r>
      <w:r w:rsidR="00EC45A1" w:rsidRPr="008900A2">
        <w:t>implications</w:t>
      </w:r>
      <w:r w:rsidRPr="008900A2">
        <w:t xml:space="preserve"> for </w:t>
      </w:r>
      <w:r w:rsidR="00EC45A1" w:rsidRPr="008900A2">
        <w:t>health</w:t>
      </w:r>
      <w:r w:rsidRPr="008900A2">
        <w:t xml:space="preserve">: Results </w:t>
      </w:r>
      <w:r w:rsidR="00EC45A1" w:rsidRPr="008900A2">
        <w:t>f</w:t>
      </w:r>
      <w:r w:rsidRPr="008900A2">
        <w:t xml:space="preserve">rom the Virginia Transgender Health Initiative Study. </w:t>
      </w:r>
      <w:r w:rsidRPr="008900A2">
        <w:rPr>
          <w:i/>
          <w:iCs/>
        </w:rPr>
        <w:t>American Journal of Public Health</w:t>
      </w:r>
      <w:r w:rsidRPr="008900A2">
        <w:t xml:space="preserve">, </w:t>
      </w:r>
      <w:r w:rsidRPr="008900A2">
        <w:rPr>
          <w:i/>
          <w:iCs/>
        </w:rPr>
        <w:t>103</w:t>
      </w:r>
      <w:r w:rsidRPr="008900A2">
        <w:t>(10), 1820–1829. https://doi.org/10.2105/AJPH.2012.300796</w:t>
      </w:r>
    </w:p>
    <w:p w14:paraId="3BC79957" w14:textId="1D9640C3" w:rsidR="00C72722" w:rsidRPr="008900A2" w:rsidRDefault="00C72722" w:rsidP="00C72722">
      <w:pPr>
        <w:pStyle w:val="Bibliography"/>
      </w:pPr>
      <w:r w:rsidRPr="008900A2">
        <w:t xml:space="preserve">Brenes, G. A., Danhauer, S. C., Lyles, M. F., Hogan, P. E., &amp; Miller, M. E. (2015). </w:t>
      </w:r>
      <w:r w:rsidR="00EC45A1" w:rsidRPr="008900A2">
        <w:t>barriers</w:t>
      </w:r>
      <w:r w:rsidRPr="008900A2">
        <w:t xml:space="preserve"> to </w:t>
      </w:r>
      <w:r w:rsidR="00EC45A1" w:rsidRPr="008900A2">
        <w:t>mental health treatment</w:t>
      </w:r>
      <w:r w:rsidRPr="008900A2">
        <w:t xml:space="preserve"> in </w:t>
      </w:r>
      <w:r w:rsidR="00EC45A1" w:rsidRPr="008900A2">
        <w:t>rural older adu</w:t>
      </w:r>
      <w:r w:rsidRPr="008900A2">
        <w:t xml:space="preserve">lts. </w:t>
      </w:r>
      <w:r w:rsidRPr="008900A2">
        <w:rPr>
          <w:i/>
          <w:iCs/>
        </w:rPr>
        <w:t>The American Journal of Geriatric Psychiatry: Official Journal of the American Association for Geriatric Psychiatry</w:t>
      </w:r>
      <w:r w:rsidRPr="008900A2">
        <w:t xml:space="preserve">, </w:t>
      </w:r>
      <w:r w:rsidRPr="008900A2">
        <w:rPr>
          <w:i/>
          <w:iCs/>
        </w:rPr>
        <w:t>23</w:t>
      </w:r>
      <w:r w:rsidRPr="008900A2">
        <w:t xml:space="preserve">(11), 1172–1178. </w:t>
      </w:r>
      <w:hyperlink r:id="rId12" w:history="1">
        <w:r w:rsidRPr="008900A2">
          <w:rPr>
            <w:rStyle w:val="Hyperlink"/>
          </w:rPr>
          <w:t>https://doi.org/10.1016/j.jagp.2015.06.002</w:t>
        </w:r>
      </w:hyperlink>
    </w:p>
    <w:p w14:paraId="73527D76" w14:textId="77777777" w:rsidR="00C72722" w:rsidRPr="008900A2" w:rsidRDefault="00C72722" w:rsidP="00C72722">
      <w:pPr>
        <w:spacing w:line="480" w:lineRule="auto"/>
        <w:ind w:left="720" w:hanging="720"/>
      </w:pPr>
      <w:r w:rsidRPr="008900A2">
        <w:rPr>
          <w:color w:val="333333"/>
          <w:shd w:val="clear" w:color="auto" w:fill="FFFFFF"/>
        </w:rPr>
        <w:t xml:space="preserve">Browne, M. W., &amp; </w:t>
      </w:r>
      <w:proofErr w:type="spellStart"/>
      <w:r w:rsidRPr="008900A2">
        <w:rPr>
          <w:color w:val="333333"/>
          <w:shd w:val="clear" w:color="auto" w:fill="FFFFFF"/>
        </w:rPr>
        <w:t>Cudeck</w:t>
      </w:r>
      <w:proofErr w:type="spellEnd"/>
      <w:r w:rsidRPr="008900A2">
        <w:rPr>
          <w:color w:val="333333"/>
          <w:shd w:val="clear" w:color="auto" w:fill="FFFFFF"/>
        </w:rPr>
        <w:t>, R. (1992). Alternative Ways of Assessing Model Fit. </w:t>
      </w:r>
      <w:r w:rsidRPr="008900A2">
        <w:rPr>
          <w:i/>
          <w:iCs/>
          <w:color w:val="333333"/>
          <w:shd w:val="clear" w:color="auto" w:fill="FFFFFF"/>
        </w:rPr>
        <w:t>Sociological Methods &amp; Research</w:t>
      </w:r>
      <w:r w:rsidRPr="008900A2">
        <w:rPr>
          <w:color w:val="333333"/>
          <w:shd w:val="clear" w:color="auto" w:fill="FFFFFF"/>
        </w:rPr>
        <w:t>, </w:t>
      </w:r>
      <w:r w:rsidRPr="008900A2">
        <w:rPr>
          <w:i/>
          <w:iCs/>
          <w:color w:val="333333"/>
          <w:shd w:val="clear" w:color="auto" w:fill="FFFFFF"/>
        </w:rPr>
        <w:t>21</w:t>
      </w:r>
      <w:r w:rsidRPr="008900A2">
        <w:rPr>
          <w:color w:val="333333"/>
          <w:shd w:val="clear" w:color="auto" w:fill="FFFFFF"/>
        </w:rPr>
        <w:t>(2), 230–258. </w:t>
      </w:r>
      <w:hyperlink r:id="rId13" w:history="1">
        <w:r w:rsidRPr="008900A2">
          <w:rPr>
            <w:rStyle w:val="Hyperlink"/>
            <w:color w:val="006ACC"/>
            <w:shd w:val="clear" w:color="auto" w:fill="FFFFFF"/>
          </w:rPr>
          <w:t>https://doi.org/10.1177/0049124192021002005</w:t>
        </w:r>
      </w:hyperlink>
    </w:p>
    <w:p w14:paraId="3EA4166C" w14:textId="0B747010" w:rsidR="00C72722" w:rsidRPr="008900A2" w:rsidRDefault="00C72722" w:rsidP="00C72722">
      <w:pPr>
        <w:pStyle w:val="Bibliography"/>
      </w:pPr>
      <w:r w:rsidRPr="008900A2">
        <w:t xml:space="preserve">Budge, S. L., Adelson, J. L., &amp; Howard, K. A. S. (2013). Anxiety and </w:t>
      </w:r>
      <w:r w:rsidR="00EC45A1" w:rsidRPr="008900A2">
        <w:t>depression</w:t>
      </w:r>
      <w:r w:rsidRPr="008900A2">
        <w:t xml:space="preserve"> in </w:t>
      </w:r>
      <w:r w:rsidR="00EC45A1" w:rsidRPr="008900A2">
        <w:t>transgender indi</w:t>
      </w:r>
      <w:r w:rsidRPr="008900A2">
        <w:t xml:space="preserve">viduals: </w:t>
      </w:r>
      <w:r w:rsidR="00EC45A1" w:rsidRPr="008900A2">
        <w:t>the roles</w:t>
      </w:r>
      <w:r w:rsidRPr="008900A2">
        <w:t xml:space="preserve"> of </w:t>
      </w:r>
      <w:r w:rsidR="00EC45A1" w:rsidRPr="008900A2">
        <w:t>transition status, loss, social support</w:t>
      </w:r>
      <w:r w:rsidRPr="008900A2">
        <w:t xml:space="preserve">, and </w:t>
      </w:r>
      <w:r w:rsidR="00EC45A1" w:rsidRPr="008900A2">
        <w:t>c</w:t>
      </w:r>
      <w:r w:rsidRPr="008900A2">
        <w:t xml:space="preserve">oping. </w:t>
      </w:r>
      <w:r w:rsidRPr="008900A2">
        <w:rPr>
          <w:i/>
          <w:iCs/>
        </w:rPr>
        <w:t>Journal of Consulting &amp; Clinical Psychology</w:t>
      </w:r>
      <w:r w:rsidRPr="008900A2">
        <w:t xml:space="preserve">, </w:t>
      </w:r>
      <w:r w:rsidRPr="008900A2">
        <w:rPr>
          <w:i/>
          <w:iCs/>
        </w:rPr>
        <w:t>81</w:t>
      </w:r>
      <w:r w:rsidRPr="008900A2">
        <w:t>(3), 545–557. https://doi.org/10.1037/a0031774</w:t>
      </w:r>
    </w:p>
    <w:p w14:paraId="37FCFF22" w14:textId="77777777" w:rsidR="00C72722" w:rsidRPr="008900A2" w:rsidRDefault="00C72722" w:rsidP="00C72722">
      <w:pPr>
        <w:pStyle w:val="Bibliography"/>
        <w:rPr>
          <w:rStyle w:val="Hyperlink"/>
        </w:rPr>
      </w:pPr>
      <w:r w:rsidRPr="008900A2">
        <w:t xml:space="preserve">Budge, S. L., Tebbe, E. N., &amp; Howard, K. A. S. (2010). The work experiences of transgender individuals: Negotiating the transition and career decision-making processes. </w:t>
      </w:r>
      <w:r w:rsidRPr="008900A2">
        <w:rPr>
          <w:i/>
          <w:iCs/>
        </w:rPr>
        <w:t>Journal of Counseling Psychology</w:t>
      </w:r>
      <w:r w:rsidRPr="008900A2">
        <w:t xml:space="preserve">, </w:t>
      </w:r>
      <w:r w:rsidRPr="008900A2">
        <w:rPr>
          <w:i/>
          <w:iCs/>
        </w:rPr>
        <w:t>57</w:t>
      </w:r>
      <w:r w:rsidRPr="008900A2">
        <w:t xml:space="preserve">(4), 377–393. </w:t>
      </w:r>
      <w:hyperlink r:id="rId14" w:history="1">
        <w:r w:rsidRPr="008900A2">
          <w:rPr>
            <w:rStyle w:val="Hyperlink"/>
          </w:rPr>
          <w:t>https://doi.org/10.1037/a0020472</w:t>
        </w:r>
      </w:hyperlink>
    </w:p>
    <w:p w14:paraId="196203F1" w14:textId="42CAEA9C" w:rsidR="00CC5310" w:rsidRPr="008900A2" w:rsidRDefault="00CC5310" w:rsidP="009A13AE">
      <w:pPr>
        <w:spacing w:line="480" w:lineRule="auto"/>
        <w:ind w:left="720" w:hanging="720"/>
      </w:pPr>
      <w:r w:rsidRPr="008900A2">
        <w:t xml:space="preserve">Burnham, K. P., &amp; Anderson, D. R. (2004). </w:t>
      </w:r>
      <w:proofErr w:type="spellStart"/>
      <w:r w:rsidRPr="008900A2">
        <w:t>Multimodel</w:t>
      </w:r>
      <w:proofErr w:type="spellEnd"/>
      <w:r w:rsidRPr="008900A2">
        <w:t xml:space="preserve"> inference: understanding AIC and BIC in model selection. Sociological methods &amp; research, 33(2), 261-304.</w:t>
      </w:r>
      <w:r w:rsidR="00505357" w:rsidRPr="008900A2">
        <w:t xml:space="preserve"> DOI: 10.1177/0049124104268644</w:t>
      </w:r>
    </w:p>
    <w:p w14:paraId="7FD48347" w14:textId="334D3D3F" w:rsidR="00C72722" w:rsidRPr="008900A2" w:rsidRDefault="00C72722" w:rsidP="00C72722">
      <w:pPr>
        <w:pStyle w:val="Bibliography"/>
      </w:pPr>
      <w:r w:rsidRPr="008900A2">
        <w:t xml:space="preserve">Carpenter-Song, E., &amp; Snell-Rood, C. (2016). The </w:t>
      </w:r>
      <w:r w:rsidR="00EC45A1" w:rsidRPr="008900A2">
        <w:t>changing context</w:t>
      </w:r>
      <w:r w:rsidRPr="008900A2">
        <w:t xml:space="preserve"> of </w:t>
      </w:r>
      <w:r w:rsidR="00EC45A1" w:rsidRPr="008900A2">
        <w:t>rural</w:t>
      </w:r>
      <w:r w:rsidRPr="008900A2">
        <w:t xml:space="preserve"> America: A </w:t>
      </w:r>
      <w:r w:rsidR="00EC45A1" w:rsidRPr="008900A2">
        <w:t>call</w:t>
      </w:r>
      <w:r w:rsidRPr="008900A2">
        <w:t xml:space="preserve"> to </w:t>
      </w:r>
      <w:r w:rsidR="00EC45A1" w:rsidRPr="008900A2">
        <w:t>examine</w:t>
      </w:r>
      <w:r w:rsidRPr="008900A2">
        <w:t xml:space="preserve"> the </w:t>
      </w:r>
      <w:r w:rsidR="00EC45A1" w:rsidRPr="008900A2">
        <w:t>impact</w:t>
      </w:r>
      <w:r w:rsidRPr="008900A2">
        <w:t xml:space="preserve"> of </w:t>
      </w:r>
      <w:r w:rsidR="00EC45A1" w:rsidRPr="008900A2">
        <w:t>social change</w:t>
      </w:r>
      <w:r w:rsidRPr="008900A2">
        <w:t xml:space="preserve"> on </w:t>
      </w:r>
      <w:r w:rsidR="00EC45A1" w:rsidRPr="008900A2">
        <w:t>mental health</w:t>
      </w:r>
      <w:r w:rsidRPr="008900A2">
        <w:t xml:space="preserve"> and </w:t>
      </w:r>
      <w:r w:rsidR="00EC45A1" w:rsidRPr="008900A2">
        <w:t>mental health care.</w:t>
      </w:r>
      <w:r w:rsidRPr="008900A2">
        <w:t xml:space="preserve"> </w:t>
      </w:r>
      <w:r w:rsidRPr="008900A2">
        <w:rPr>
          <w:i/>
          <w:iCs/>
        </w:rPr>
        <w:t>Psychiatric Services</w:t>
      </w:r>
      <w:r w:rsidRPr="008900A2">
        <w:t xml:space="preserve">, </w:t>
      </w:r>
      <w:r w:rsidRPr="008900A2">
        <w:rPr>
          <w:i/>
          <w:iCs/>
        </w:rPr>
        <w:t>68</w:t>
      </w:r>
      <w:r w:rsidRPr="008900A2">
        <w:t>(5), 503–506. https://doi.org/10.1176/appi.ps.201600024</w:t>
      </w:r>
    </w:p>
    <w:p w14:paraId="16BD4962" w14:textId="53A2FB34" w:rsidR="00C72722" w:rsidRPr="008900A2" w:rsidRDefault="00C72722" w:rsidP="00C72722">
      <w:pPr>
        <w:pStyle w:val="Bibliography"/>
      </w:pPr>
      <w:r w:rsidRPr="008900A2">
        <w:t xml:space="preserve">Clements-Nolle, K., Marx, R., &amp; Katz, M. (2006). Attempted </w:t>
      </w:r>
      <w:r w:rsidR="00EC45A1" w:rsidRPr="008900A2">
        <w:t>suicide among transgender per</w:t>
      </w:r>
      <w:r w:rsidRPr="008900A2">
        <w:t xml:space="preserve">sons. </w:t>
      </w:r>
      <w:r w:rsidRPr="008900A2">
        <w:rPr>
          <w:i/>
          <w:iCs/>
        </w:rPr>
        <w:t>Journal of Homosexuality</w:t>
      </w:r>
      <w:r w:rsidRPr="008900A2">
        <w:t xml:space="preserve">, </w:t>
      </w:r>
      <w:r w:rsidRPr="008900A2">
        <w:rPr>
          <w:i/>
          <w:iCs/>
        </w:rPr>
        <w:t>51</w:t>
      </w:r>
      <w:r w:rsidRPr="008900A2">
        <w:t>(3), 53–69. https://doi.org/10.1300/J082v51n03_04</w:t>
      </w:r>
    </w:p>
    <w:p w14:paraId="76B5018D" w14:textId="77777777" w:rsidR="00C72722" w:rsidRPr="008900A2" w:rsidRDefault="00C72722" w:rsidP="00C72722">
      <w:pPr>
        <w:pStyle w:val="Bibliography"/>
      </w:pPr>
      <w:r w:rsidRPr="008900A2">
        <w:t xml:space="preserve">Crosby, R. A., Wendel, M. L., Vanderpool, R. C., &amp; Casey, B. R. (2012). </w:t>
      </w:r>
      <w:r w:rsidRPr="008900A2">
        <w:rPr>
          <w:i/>
          <w:iCs/>
        </w:rPr>
        <w:t>Rural Populations and Health: Determinants, Disparities, and Solutions</w:t>
      </w:r>
      <w:r w:rsidRPr="008900A2">
        <w:t>. John Wiley &amp; Sons.</w:t>
      </w:r>
    </w:p>
    <w:p w14:paraId="19096CF8" w14:textId="45D364D9" w:rsidR="00C72722" w:rsidRPr="008900A2" w:rsidRDefault="00C72722" w:rsidP="00C72722">
      <w:pPr>
        <w:spacing w:line="480" w:lineRule="auto"/>
        <w:ind w:left="720" w:hanging="720"/>
      </w:pPr>
      <w:r w:rsidRPr="008900A2">
        <w:rPr>
          <w:lang w:val="es-MX"/>
        </w:rPr>
        <w:t xml:space="preserve">Enders, C. K., &amp; Bandalos, D. L. (2001). </w:t>
      </w:r>
      <w:r w:rsidRPr="008900A2">
        <w:t>The relative performance of full information maximum likelihood estimation for missing data in structural equation models. </w:t>
      </w:r>
      <w:r w:rsidRPr="008900A2">
        <w:rPr>
          <w:i/>
          <w:iCs/>
        </w:rPr>
        <w:t xml:space="preserve">Structural </w:t>
      </w:r>
      <w:r w:rsidR="00EC45A1" w:rsidRPr="008900A2">
        <w:rPr>
          <w:i/>
          <w:iCs/>
        </w:rPr>
        <w:t>E</w:t>
      </w:r>
      <w:r w:rsidRPr="008900A2">
        <w:rPr>
          <w:i/>
          <w:iCs/>
        </w:rPr>
        <w:t xml:space="preserve">quation </w:t>
      </w:r>
      <w:r w:rsidR="00EC45A1" w:rsidRPr="008900A2">
        <w:rPr>
          <w:i/>
          <w:iCs/>
        </w:rPr>
        <w:t>M</w:t>
      </w:r>
      <w:r w:rsidRPr="008900A2">
        <w:rPr>
          <w:i/>
          <w:iCs/>
        </w:rPr>
        <w:t>odeling</w:t>
      </w:r>
      <w:r w:rsidRPr="008900A2">
        <w:t>, </w:t>
      </w:r>
      <w:r w:rsidRPr="008900A2">
        <w:rPr>
          <w:i/>
          <w:iCs/>
        </w:rPr>
        <w:t>8</w:t>
      </w:r>
      <w:r w:rsidRPr="008900A2">
        <w:t>(3), 430-457. DOI: 10.1207/S15328007SEM0803_5</w:t>
      </w:r>
    </w:p>
    <w:p w14:paraId="19A62B8E" w14:textId="77777777" w:rsidR="00C72722" w:rsidRPr="008900A2" w:rsidRDefault="00C72722" w:rsidP="00C72722">
      <w:pPr>
        <w:pStyle w:val="Bibliography"/>
      </w:pPr>
      <w:r w:rsidRPr="008900A2">
        <w:t xml:space="preserve">Fortney, J. C., </w:t>
      </w:r>
      <w:proofErr w:type="spellStart"/>
      <w:r w:rsidRPr="008900A2">
        <w:t>Pyne</w:t>
      </w:r>
      <w:proofErr w:type="spellEnd"/>
      <w:r w:rsidRPr="008900A2">
        <w:t xml:space="preserve">, J. M., Turner, E. E., Farris, K. M., Normoyle, T. M., Avery, M. D., … </w:t>
      </w:r>
      <w:proofErr w:type="spellStart"/>
      <w:r w:rsidRPr="008900A2">
        <w:t>Unützer</w:t>
      </w:r>
      <w:proofErr w:type="spellEnd"/>
      <w:r w:rsidRPr="008900A2">
        <w:t xml:space="preserve">, J. (2015). Telepsychiatry integration of mental health services into rural primary care settings. </w:t>
      </w:r>
      <w:r w:rsidRPr="008900A2">
        <w:rPr>
          <w:i/>
          <w:iCs/>
        </w:rPr>
        <w:t>International Review of Psychiatry</w:t>
      </w:r>
      <w:r w:rsidRPr="008900A2">
        <w:t xml:space="preserve">, </w:t>
      </w:r>
      <w:r w:rsidRPr="008900A2">
        <w:rPr>
          <w:i/>
          <w:iCs/>
        </w:rPr>
        <w:t>27</w:t>
      </w:r>
      <w:r w:rsidRPr="008900A2">
        <w:t>(6), 525–539. https://doi.org/10.3109/09540261.2015.1085838</w:t>
      </w:r>
    </w:p>
    <w:p w14:paraId="16E1A8AD" w14:textId="77777777" w:rsidR="00C72722" w:rsidRPr="008900A2" w:rsidRDefault="00C72722" w:rsidP="00C72722">
      <w:pPr>
        <w:pStyle w:val="Bibliography"/>
      </w:pPr>
      <w:r w:rsidRPr="008900A2">
        <w:t xml:space="preserve">Fox, J. C., Blank, M., </w:t>
      </w:r>
      <w:proofErr w:type="spellStart"/>
      <w:r w:rsidRPr="008900A2">
        <w:t>Rovnyak</w:t>
      </w:r>
      <w:proofErr w:type="spellEnd"/>
      <w:r w:rsidRPr="008900A2">
        <w:t xml:space="preserve">, V. G., &amp; Barnett, R. Y. (2001). Barriers to help seeking for mental disorders in a rural impoverished population. </w:t>
      </w:r>
      <w:r w:rsidRPr="008900A2">
        <w:rPr>
          <w:i/>
          <w:iCs/>
        </w:rPr>
        <w:t>Community Mental Health Journal; New York</w:t>
      </w:r>
      <w:r w:rsidRPr="008900A2">
        <w:t xml:space="preserve">, </w:t>
      </w:r>
      <w:r w:rsidRPr="008900A2">
        <w:rPr>
          <w:i/>
          <w:iCs/>
        </w:rPr>
        <w:t>37</w:t>
      </w:r>
      <w:r w:rsidRPr="008900A2">
        <w:t>(5), 421–436.</w:t>
      </w:r>
      <w:r w:rsidRPr="008900A2">
        <w:rPr>
          <w:color w:val="333333"/>
          <w:spacing w:val="4"/>
          <w:shd w:val="clear" w:color="auto" w:fill="FCFCFC"/>
        </w:rPr>
        <w:t xml:space="preserve"> </w:t>
      </w:r>
      <w:r w:rsidRPr="008900A2">
        <w:t>https://doi.org/10.1023/A:1017580013197</w:t>
      </w:r>
    </w:p>
    <w:p w14:paraId="6A10B043" w14:textId="4A9A38C3" w:rsidR="00C72722" w:rsidRPr="008900A2" w:rsidRDefault="00C72722" w:rsidP="00C72722">
      <w:pPr>
        <w:pStyle w:val="Bibliography"/>
      </w:pPr>
      <w:r w:rsidRPr="008900A2">
        <w:t xml:space="preserve">Fresco, D. M., Frankel, A. N., </w:t>
      </w:r>
      <w:proofErr w:type="spellStart"/>
      <w:r w:rsidRPr="008900A2">
        <w:t>Mennin</w:t>
      </w:r>
      <w:proofErr w:type="spellEnd"/>
      <w:r w:rsidRPr="008900A2">
        <w:t xml:space="preserve">, D. S., Turk, C. L., &amp; Heimberg, R. G. (2002). Distinct and </w:t>
      </w:r>
      <w:r w:rsidR="00EC45A1" w:rsidRPr="008900A2">
        <w:t>overlapping features</w:t>
      </w:r>
      <w:r w:rsidRPr="008900A2">
        <w:t xml:space="preserve"> of </w:t>
      </w:r>
      <w:r w:rsidR="00EC45A1" w:rsidRPr="008900A2">
        <w:t>rumination</w:t>
      </w:r>
      <w:r w:rsidRPr="008900A2">
        <w:t xml:space="preserve"> and </w:t>
      </w:r>
      <w:r w:rsidR="00EC45A1" w:rsidRPr="008900A2">
        <w:t>wo</w:t>
      </w:r>
      <w:r w:rsidRPr="008900A2">
        <w:t xml:space="preserve">rry: The </w:t>
      </w:r>
      <w:r w:rsidR="00EC45A1" w:rsidRPr="008900A2">
        <w:t>relationship</w:t>
      </w:r>
      <w:r w:rsidRPr="008900A2">
        <w:t xml:space="preserve"> of </w:t>
      </w:r>
      <w:r w:rsidR="00EC45A1" w:rsidRPr="008900A2">
        <w:t>cognitive production</w:t>
      </w:r>
      <w:r w:rsidRPr="008900A2">
        <w:t xml:space="preserve"> to </w:t>
      </w:r>
      <w:r w:rsidR="00EC45A1" w:rsidRPr="008900A2">
        <w:t>negative affective states</w:t>
      </w:r>
      <w:r w:rsidRPr="008900A2">
        <w:t xml:space="preserve">. </w:t>
      </w:r>
      <w:r w:rsidRPr="008900A2">
        <w:rPr>
          <w:i/>
          <w:iCs/>
        </w:rPr>
        <w:t>Cognitive Therapy &amp; Research</w:t>
      </w:r>
      <w:r w:rsidRPr="008900A2">
        <w:t xml:space="preserve">, </w:t>
      </w:r>
      <w:r w:rsidRPr="008900A2">
        <w:rPr>
          <w:i/>
          <w:iCs/>
        </w:rPr>
        <w:t>26</w:t>
      </w:r>
      <w:r w:rsidRPr="008900A2">
        <w:t>(2), 179–188. https://doi.org/10.1023/A:1014517718949</w:t>
      </w:r>
    </w:p>
    <w:p w14:paraId="1D46FC1E" w14:textId="60FD6E3B" w:rsidR="00C72722" w:rsidRPr="008900A2" w:rsidRDefault="00C72722" w:rsidP="00C72722">
      <w:pPr>
        <w:spacing w:line="480" w:lineRule="auto"/>
        <w:ind w:left="720" w:hanging="720"/>
      </w:pPr>
      <w:r w:rsidRPr="008900A2">
        <w:t>Fritz, M. S., &amp; MacKinnon, D. P. (2007). Required sample size to detect the mediated effect. </w:t>
      </w:r>
      <w:r w:rsidRPr="008900A2">
        <w:rPr>
          <w:i/>
          <w:iCs/>
        </w:rPr>
        <w:t xml:space="preserve">Psychological </w:t>
      </w:r>
      <w:r w:rsidR="00EC45A1" w:rsidRPr="008900A2">
        <w:rPr>
          <w:i/>
          <w:iCs/>
        </w:rPr>
        <w:t>S</w:t>
      </w:r>
      <w:r w:rsidRPr="008900A2">
        <w:rPr>
          <w:i/>
          <w:iCs/>
        </w:rPr>
        <w:t>cience</w:t>
      </w:r>
      <w:r w:rsidRPr="008900A2">
        <w:t>, </w:t>
      </w:r>
      <w:r w:rsidRPr="008900A2">
        <w:rPr>
          <w:i/>
          <w:iCs/>
        </w:rPr>
        <w:t>18</w:t>
      </w:r>
      <w:r w:rsidRPr="008900A2">
        <w:t xml:space="preserve">(3), 233-239. </w:t>
      </w:r>
      <w:hyperlink r:id="rId15" w:history="1">
        <w:r w:rsidRPr="008900A2">
          <w:rPr>
            <w:rStyle w:val="Hyperlink"/>
          </w:rPr>
          <w:t>https://doi.org/10.1111/j.1467-9280.2007.01882.x</w:t>
        </w:r>
      </w:hyperlink>
    </w:p>
    <w:p w14:paraId="4742D574" w14:textId="7686392A" w:rsidR="00C72722" w:rsidRPr="008900A2" w:rsidRDefault="00C72722" w:rsidP="00C72722">
      <w:pPr>
        <w:spacing w:line="480" w:lineRule="auto"/>
        <w:ind w:left="720" w:hanging="720"/>
      </w:pPr>
      <w:r w:rsidRPr="008900A2">
        <w:rPr>
          <w:color w:val="222222"/>
          <w:shd w:val="clear" w:color="auto" w:fill="FFFFFF"/>
        </w:rPr>
        <w:t>Gamm, L., Stone, S., &amp; Pittman, S. (2010). Mental health and mental disorders—A rural challenge: A literature review. </w:t>
      </w:r>
      <w:r w:rsidRPr="008900A2">
        <w:rPr>
          <w:i/>
          <w:iCs/>
          <w:color w:val="222222"/>
          <w:shd w:val="clear" w:color="auto" w:fill="FFFFFF"/>
        </w:rPr>
        <w:t xml:space="preserve">Rural </w:t>
      </w:r>
      <w:r w:rsidR="00EC45A1" w:rsidRPr="008900A2">
        <w:rPr>
          <w:i/>
          <w:iCs/>
          <w:color w:val="222222"/>
          <w:shd w:val="clear" w:color="auto" w:fill="FFFFFF"/>
        </w:rPr>
        <w:t>H</w:t>
      </w:r>
      <w:r w:rsidRPr="008900A2">
        <w:rPr>
          <w:i/>
          <w:iCs/>
          <w:color w:val="222222"/>
          <w:shd w:val="clear" w:color="auto" w:fill="FFFFFF"/>
        </w:rPr>
        <w:t xml:space="preserve">ealthy </w:t>
      </w:r>
      <w:r w:rsidR="00EC45A1" w:rsidRPr="008900A2">
        <w:rPr>
          <w:i/>
          <w:iCs/>
          <w:color w:val="222222"/>
          <w:shd w:val="clear" w:color="auto" w:fill="FFFFFF"/>
        </w:rPr>
        <w:t>P</w:t>
      </w:r>
      <w:r w:rsidRPr="008900A2">
        <w:rPr>
          <w:i/>
          <w:iCs/>
          <w:color w:val="222222"/>
          <w:shd w:val="clear" w:color="auto" w:fill="FFFFFF"/>
        </w:rPr>
        <w:t>eople</w:t>
      </w:r>
      <w:r w:rsidRPr="008900A2">
        <w:rPr>
          <w:color w:val="222222"/>
          <w:shd w:val="clear" w:color="auto" w:fill="FFFFFF"/>
        </w:rPr>
        <w:t>, </w:t>
      </w:r>
      <w:r w:rsidRPr="008900A2">
        <w:rPr>
          <w:i/>
          <w:iCs/>
          <w:color w:val="222222"/>
          <w:shd w:val="clear" w:color="auto" w:fill="FFFFFF"/>
        </w:rPr>
        <w:t>1</w:t>
      </w:r>
      <w:r w:rsidRPr="008900A2">
        <w:rPr>
          <w:color w:val="222222"/>
          <w:shd w:val="clear" w:color="auto" w:fill="FFFFFF"/>
        </w:rPr>
        <w:t>(1), 97-114.</w:t>
      </w:r>
    </w:p>
    <w:p w14:paraId="6A0392B6" w14:textId="77777777" w:rsidR="00C72722" w:rsidRPr="008900A2" w:rsidRDefault="00C72722" w:rsidP="00C72722">
      <w:pPr>
        <w:pStyle w:val="Bibliography"/>
      </w:pPr>
      <w:r w:rsidRPr="008900A2">
        <w:t xml:space="preserve">Gleason, H. A., Livingston, N. A., Peters, M. M., Oost, K. M., Reely, E., &amp; Cochran, B. N. (2016). Effects of state nondiscrimination laws on transgender and gender-nonconforming individuals’ perceived community stigma and mental health. </w:t>
      </w:r>
      <w:r w:rsidRPr="008900A2">
        <w:rPr>
          <w:i/>
          <w:iCs/>
        </w:rPr>
        <w:t>Journal of Gay &amp; Lesbian Mental Health</w:t>
      </w:r>
      <w:r w:rsidRPr="008900A2">
        <w:t xml:space="preserve">, </w:t>
      </w:r>
      <w:r w:rsidRPr="008900A2">
        <w:rPr>
          <w:i/>
          <w:iCs/>
        </w:rPr>
        <w:t>20</w:t>
      </w:r>
      <w:r w:rsidRPr="008900A2">
        <w:t>(4), 350–362. https://doi.org/10.1080/19359705.2016.1207582</w:t>
      </w:r>
    </w:p>
    <w:p w14:paraId="26204C93" w14:textId="77777777" w:rsidR="00C72722" w:rsidRPr="008900A2" w:rsidRDefault="00C72722" w:rsidP="00C72722">
      <w:pPr>
        <w:pStyle w:val="Bibliography"/>
      </w:pPr>
      <w:r w:rsidRPr="008900A2">
        <w:t xml:space="preserve">Grant, J. M., Mottet, L., Tanis, J. E., Herman, J., Harrison, J., &amp; Keisling, M. (2010). </w:t>
      </w:r>
      <w:r w:rsidRPr="008900A2">
        <w:rPr>
          <w:i/>
          <w:iCs/>
        </w:rPr>
        <w:t>National transgender discrimination survey report on health and health care: Findings of a study by the National Center for Transgender Equality and the National Gay and Lesbian Task Force</w:t>
      </w:r>
      <w:r w:rsidRPr="008900A2">
        <w:t>. National Center for Transgender Equality.</w:t>
      </w:r>
    </w:p>
    <w:p w14:paraId="402671ED" w14:textId="77777777" w:rsidR="00C72722" w:rsidRPr="008900A2" w:rsidRDefault="00C72722" w:rsidP="00C72722">
      <w:pPr>
        <w:spacing w:line="480" w:lineRule="auto"/>
        <w:ind w:left="720" w:hanging="720"/>
      </w:pPr>
      <w:r w:rsidRPr="008900A2">
        <w:rPr>
          <w:color w:val="222222"/>
          <w:shd w:val="clear" w:color="auto" w:fill="FFFFFF"/>
        </w:rPr>
        <w:t>Hastings, S. L., &amp; Cohn, T. J. (2013). Challenges and opportunities associated with rural mental health practice. </w:t>
      </w:r>
      <w:r w:rsidRPr="008900A2">
        <w:rPr>
          <w:i/>
          <w:iCs/>
          <w:color w:val="222222"/>
          <w:shd w:val="clear" w:color="auto" w:fill="FFFFFF"/>
        </w:rPr>
        <w:t>Journal of Rural Mental Health</w:t>
      </w:r>
      <w:r w:rsidRPr="008900A2">
        <w:rPr>
          <w:color w:val="222222"/>
          <w:shd w:val="clear" w:color="auto" w:fill="FFFFFF"/>
        </w:rPr>
        <w:t>, </w:t>
      </w:r>
      <w:r w:rsidRPr="008900A2">
        <w:rPr>
          <w:i/>
          <w:iCs/>
          <w:color w:val="222222"/>
          <w:shd w:val="clear" w:color="auto" w:fill="FFFFFF"/>
        </w:rPr>
        <w:t>37</w:t>
      </w:r>
      <w:r w:rsidRPr="008900A2">
        <w:rPr>
          <w:color w:val="222222"/>
          <w:shd w:val="clear" w:color="auto" w:fill="FFFFFF"/>
        </w:rPr>
        <w:t>(1), 37</w:t>
      </w:r>
      <w:r w:rsidR="00EC45A1" w:rsidRPr="008900A2">
        <w:rPr>
          <w:color w:val="222222"/>
          <w:shd w:val="clear" w:color="auto" w:fill="FFFFFF"/>
        </w:rPr>
        <w:t>-49</w:t>
      </w:r>
      <w:r w:rsidRPr="008900A2">
        <w:rPr>
          <w:color w:val="222222"/>
          <w:shd w:val="clear" w:color="auto" w:fill="FFFFFF"/>
        </w:rPr>
        <w:t>.</w:t>
      </w:r>
      <w:r w:rsidRPr="008900A2">
        <w:t xml:space="preserve"> </w:t>
      </w:r>
      <w:hyperlink r:id="rId16" w:history="1">
        <w:r w:rsidRPr="008900A2">
          <w:rPr>
            <w:rStyle w:val="Hyperlink"/>
            <w:shd w:val="clear" w:color="auto" w:fill="FFFFFF"/>
          </w:rPr>
          <w:t>http://dx.doi.org/10.1037/rmh0000002</w:t>
        </w:r>
      </w:hyperlink>
    </w:p>
    <w:p w14:paraId="1DED78BA" w14:textId="49B1085C" w:rsidR="00C72722" w:rsidRPr="008900A2" w:rsidRDefault="00C72722" w:rsidP="00C72722">
      <w:pPr>
        <w:pStyle w:val="Bibliography"/>
      </w:pPr>
      <w:r w:rsidRPr="008900A2">
        <w:t xml:space="preserve">Hatzenbuehler, M. L. (2009). How </w:t>
      </w:r>
      <w:r w:rsidR="00EC45A1" w:rsidRPr="008900A2">
        <w:t>does sexual minority stigma “get under</w:t>
      </w:r>
      <w:r w:rsidRPr="008900A2">
        <w:t xml:space="preserve"> the </w:t>
      </w:r>
      <w:r w:rsidR="00EC45A1" w:rsidRPr="008900A2">
        <w:t>sk</w:t>
      </w:r>
      <w:r w:rsidRPr="008900A2">
        <w:t xml:space="preserve">in”? A </w:t>
      </w:r>
      <w:r w:rsidR="00EC45A1" w:rsidRPr="008900A2">
        <w:t>psychological mediation fra</w:t>
      </w:r>
      <w:r w:rsidRPr="008900A2">
        <w:t xml:space="preserve">mework. </w:t>
      </w:r>
      <w:r w:rsidRPr="008900A2">
        <w:rPr>
          <w:i/>
          <w:iCs/>
        </w:rPr>
        <w:t>Psychological Bulletin</w:t>
      </w:r>
      <w:r w:rsidRPr="008900A2">
        <w:t xml:space="preserve">, </w:t>
      </w:r>
      <w:r w:rsidRPr="008900A2">
        <w:rPr>
          <w:i/>
          <w:iCs/>
        </w:rPr>
        <w:t>135</w:t>
      </w:r>
      <w:r w:rsidRPr="008900A2">
        <w:t>(5), 707–730. https://doi.org/10.1037/a0016441</w:t>
      </w:r>
    </w:p>
    <w:p w14:paraId="3A3D3310" w14:textId="5EA01743" w:rsidR="00C72722" w:rsidRPr="008900A2" w:rsidRDefault="00C72722" w:rsidP="00C72722">
      <w:pPr>
        <w:pStyle w:val="Bibliography"/>
      </w:pPr>
      <w:r w:rsidRPr="008900A2">
        <w:t xml:space="preserve">Hatzenbuehler, M. L., Nolen-Hoeksema, S., &amp; Dovidio, J. (2009). </w:t>
      </w:r>
      <w:r w:rsidR="00EC45A1" w:rsidRPr="008900A2">
        <w:t>how does stigma “get under</w:t>
      </w:r>
      <w:r w:rsidRPr="008900A2">
        <w:t xml:space="preserve"> the </w:t>
      </w:r>
      <w:r w:rsidR="00EC45A1" w:rsidRPr="008900A2">
        <w:t>skin</w:t>
      </w:r>
      <w:r w:rsidRPr="008900A2">
        <w:t xml:space="preserve">?”: The </w:t>
      </w:r>
      <w:r w:rsidR="00EC45A1" w:rsidRPr="008900A2">
        <w:t>mediating role</w:t>
      </w:r>
      <w:r w:rsidRPr="008900A2">
        <w:t xml:space="preserve"> of </w:t>
      </w:r>
      <w:r w:rsidR="00EC45A1" w:rsidRPr="008900A2">
        <w:t>emotion regulation</w:t>
      </w:r>
      <w:r w:rsidRPr="008900A2">
        <w:t xml:space="preserve">. </w:t>
      </w:r>
      <w:r w:rsidRPr="008900A2">
        <w:rPr>
          <w:i/>
          <w:iCs/>
        </w:rPr>
        <w:t>Psychological Science</w:t>
      </w:r>
      <w:r w:rsidRPr="008900A2">
        <w:t xml:space="preserve">, </w:t>
      </w:r>
      <w:r w:rsidRPr="008900A2">
        <w:rPr>
          <w:i/>
          <w:iCs/>
        </w:rPr>
        <w:t>20</w:t>
      </w:r>
      <w:r w:rsidRPr="008900A2">
        <w:t>(10), 1282–1289. https://doi.org/10.1111/j.1467-9280.2009.02441.x</w:t>
      </w:r>
    </w:p>
    <w:p w14:paraId="58DCCF31" w14:textId="77777777" w:rsidR="00C72722" w:rsidRDefault="00C72722" w:rsidP="00C72722">
      <w:pPr>
        <w:pStyle w:val="Bibliography"/>
        <w:rPr>
          <w:rStyle w:val="Hyperlink"/>
        </w:rPr>
      </w:pPr>
      <w:r w:rsidRPr="008900A2">
        <w:t xml:space="preserve">Hendricks, M. L., &amp; Testa, R. J. (2012). A conceptual framework for clinical work with transgender and gender nonconforming clients: An adaptation of the Minority Stress Model. </w:t>
      </w:r>
      <w:r w:rsidRPr="008900A2">
        <w:rPr>
          <w:i/>
          <w:iCs/>
        </w:rPr>
        <w:t>Professional Psychology: Research and Practice</w:t>
      </w:r>
      <w:r w:rsidRPr="008900A2">
        <w:t xml:space="preserve">, </w:t>
      </w:r>
      <w:r w:rsidRPr="008900A2">
        <w:rPr>
          <w:i/>
          <w:iCs/>
        </w:rPr>
        <w:t>43</w:t>
      </w:r>
      <w:r w:rsidRPr="008900A2">
        <w:t xml:space="preserve">(5), 460–467. </w:t>
      </w:r>
      <w:hyperlink r:id="rId17" w:history="1">
        <w:r w:rsidRPr="008900A2">
          <w:rPr>
            <w:rStyle w:val="Hyperlink"/>
          </w:rPr>
          <w:t>https://doi.org/10.1037/a0029597</w:t>
        </w:r>
      </w:hyperlink>
    </w:p>
    <w:p w14:paraId="4E6444F1" w14:textId="101AF521" w:rsidR="004A26B0" w:rsidRDefault="004A26B0" w:rsidP="004A26B0">
      <w:pPr>
        <w:spacing w:line="480" w:lineRule="auto"/>
        <w:ind w:left="720" w:hanging="720"/>
      </w:pPr>
      <w:r w:rsidRPr="004A26B0">
        <w:t>Holt, N. R., Hope, D. A., Mocarski, R., &amp; Woodruff, N. (2019). First impressions online: The inclusion of transgender and gender nonconforming identities and services in mental healthcare providers' online materials in the USA. International Journal of Transgenderism, 20(1), 49-62.</w:t>
      </w:r>
      <w:r w:rsidR="00C7457B">
        <w:t xml:space="preserve"> </w:t>
      </w:r>
      <w:r w:rsidR="00C7457B" w:rsidRPr="00C7457B">
        <w:t>https://doi.org/10.1080/15532739.2018.1428842</w:t>
      </w:r>
    </w:p>
    <w:p w14:paraId="4BCFF8F7" w14:textId="0F4E6ACF" w:rsidR="000E4524" w:rsidRDefault="000E4524" w:rsidP="000E4524">
      <w:pPr>
        <w:spacing w:line="480" w:lineRule="auto"/>
        <w:ind w:left="720" w:hanging="720"/>
      </w:pPr>
      <w:r w:rsidRPr="000E4524">
        <w:t>Holt, N. R., Huit, T. Z., Shulman, G. P., Meza, J. L., Smyth, J. D., Woodruff, N., ... &amp; Hope, D. A. (2019). Trans collaborations clinical check-in (TC3): Initial validation of a clinical measure for transgender and gender diverse adults receiving psychological services. Behavior therapy, 50(6), 1136-1149.</w:t>
      </w:r>
      <w:r w:rsidR="00184D19">
        <w:t xml:space="preserve">  </w:t>
      </w:r>
      <w:hyperlink r:id="rId18" w:history="1">
        <w:r w:rsidR="004A26B0" w:rsidRPr="004A769B">
          <w:rPr>
            <w:rStyle w:val="Hyperlink"/>
          </w:rPr>
          <w:t>https://doi.org/10.1016/j.beth.2019.04.001</w:t>
        </w:r>
      </w:hyperlink>
    </w:p>
    <w:p w14:paraId="2A057799" w14:textId="1A920897" w:rsidR="00C72722" w:rsidRPr="008900A2" w:rsidRDefault="00C72722" w:rsidP="00C72722">
      <w:pPr>
        <w:pStyle w:val="Bibliography"/>
      </w:pPr>
      <w:r w:rsidRPr="008900A2">
        <w:t xml:space="preserve">Horvath, K. J., </w:t>
      </w:r>
      <w:proofErr w:type="spellStart"/>
      <w:r w:rsidRPr="008900A2">
        <w:t>Iantaffi</w:t>
      </w:r>
      <w:proofErr w:type="spellEnd"/>
      <w:r w:rsidRPr="008900A2">
        <w:t xml:space="preserve">, A., Swinburne-Romine, R., &amp; Bockting, W. (2014). A </w:t>
      </w:r>
      <w:r w:rsidR="00EC45A1" w:rsidRPr="008900A2">
        <w:t>comparison</w:t>
      </w:r>
      <w:r w:rsidRPr="008900A2">
        <w:t xml:space="preserve"> of </w:t>
      </w:r>
      <w:r w:rsidR="00EC45A1" w:rsidRPr="008900A2">
        <w:t>mental health, substance use</w:t>
      </w:r>
      <w:r w:rsidRPr="008900A2">
        <w:t xml:space="preserve">, and </w:t>
      </w:r>
      <w:r w:rsidR="00EC45A1" w:rsidRPr="008900A2">
        <w:t>sexual risk behaviors between rural</w:t>
      </w:r>
      <w:r w:rsidRPr="008900A2">
        <w:t xml:space="preserve"> and </w:t>
      </w:r>
      <w:r w:rsidR="00EC45A1" w:rsidRPr="008900A2">
        <w:t>non-rural transgender per</w:t>
      </w:r>
      <w:r w:rsidRPr="008900A2">
        <w:t xml:space="preserve">sons. </w:t>
      </w:r>
      <w:r w:rsidRPr="008900A2">
        <w:rPr>
          <w:i/>
          <w:iCs/>
        </w:rPr>
        <w:t>Journal of Homosexuality</w:t>
      </w:r>
      <w:r w:rsidRPr="008900A2">
        <w:t xml:space="preserve">, </w:t>
      </w:r>
      <w:r w:rsidRPr="008900A2">
        <w:rPr>
          <w:i/>
          <w:iCs/>
        </w:rPr>
        <w:t>61</w:t>
      </w:r>
      <w:r w:rsidRPr="008900A2">
        <w:t>(8), 1117–1130. https://doi.org/10.1080/00918369.2014.872502</w:t>
      </w:r>
    </w:p>
    <w:p w14:paraId="2EC9F888" w14:textId="388DFD96" w:rsidR="00C72722" w:rsidRPr="008900A2" w:rsidRDefault="00C72722" w:rsidP="00C72722">
      <w:pPr>
        <w:pStyle w:val="Bibliography"/>
      </w:pPr>
      <w:r w:rsidRPr="008900A2">
        <w:t>Hu, L. T., &amp; Bentler, P. M. (1999). Cutoff criteria for fit indexes in covariance structure analysis: Conventional criteria versus new alternatives. </w:t>
      </w:r>
      <w:r w:rsidRPr="008900A2">
        <w:rPr>
          <w:i/>
          <w:iCs/>
        </w:rPr>
        <w:t xml:space="preserve">Structural </w:t>
      </w:r>
      <w:r w:rsidR="00EC45A1" w:rsidRPr="008900A2">
        <w:rPr>
          <w:i/>
          <w:iCs/>
        </w:rPr>
        <w:t>E</w:t>
      </w:r>
      <w:r w:rsidRPr="008900A2">
        <w:rPr>
          <w:i/>
          <w:iCs/>
        </w:rPr>
        <w:t xml:space="preserve">quation </w:t>
      </w:r>
      <w:r w:rsidR="00EC45A1" w:rsidRPr="008900A2">
        <w:rPr>
          <w:i/>
          <w:iCs/>
        </w:rPr>
        <w:t>M</w:t>
      </w:r>
      <w:r w:rsidRPr="008900A2">
        <w:rPr>
          <w:i/>
          <w:iCs/>
        </w:rPr>
        <w:t xml:space="preserve">odeling: </w:t>
      </w:r>
      <w:r w:rsidR="00EC45A1" w:rsidRPr="008900A2">
        <w:rPr>
          <w:i/>
          <w:iCs/>
        </w:rPr>
        <w:t>A</w:t>
      </w:r>
      <w:r w:rsidRPr="008900A2">
        <w:rPr>
          <w:i/>
          <w:iCs/>
        </w:rPr>
        <w:t xml:space="preserve"> </w:t>
      </w:r>
      <w:r w:rsidR="00EC45A1" w:rsidRPr="008900A2">
        <w:rPr>
          <w:i/>
          <w:iCs/>
        </w:rPr>
        <w:t>M</w:t>
      </w:r>
      <w:r w:rsidRPr="008900A2">
        <w:rPr>
          <w:i/>
          <w:iCs/>
        </w:rPr>
        <w:t xml:space="preserve">ultidisciplinary </w:t>
      </w:r>
      <w:r w:rsidR="00EC45A1" w:rsidRPr="008900A2">
        <w:rPr>
          <w:i/>
          <w:iCs/>
        </w:rPr>
        <w:t>J</w:t>
      </w:r>
      <w:r w:rsidRPr="008900A2">
        <w:rPr>
          <w:i/>
          <w:iCs/>
        </w:rPr>
        <w:t>ournal</w:t>
      </w:r>
      <w:r w:rsidRPr="008900A2">
        <w:t>, </w:t>
      </w:r>
      <w:r w:rsidRPr="008900A2">
        <w:rPr>
          <w:i/>
          <w:iCs/>
        </w:rPr>
        <w:t>6</w:t>
      </w:r>
      <w:r w:rsidRPr="008900A2">
        <w:t>(1), 1-55. https://doi.org/10.1080/10705519909540118</w:t>
      </w:r>
    </w:p>
    <w:p w14:paraId="15504BFB" w14:textId="6ADCFAE7" w:rsidR="00C72722" w:rsidRPr="008900A2" w:rsidRDefault="00C72722" w:rsidP="00C72722">
      <w:pPr>
        <w:pStyle w:val="Bibliography"/>
      </w:pPr>
      <w:r w:rsidRPr="008900A2">
        <w:t xml:space="preserve">Irwin, J. A., Coleman, J. D., Fisher, C. M., &amp; Marasco, V. M. (2014). Correlates of </w:t>
      </w:r>
      <w:r w:rsidR="00EC45A1" w:rsidRPr="008900A2">
        <w:t>suicide ideation amo</w:t>
      </w:r>
      <w:r w:rsidRPr="008900A2">
        <w:t xml:space="preserve">ng LGBT Nebraskans. </w:t>
      </w:r>
      <w:r w:rsidRPr="008900A2">
        <w:rPr>
          <w:i/>
          <w:iCs/>
        </w:rPr>
        <w:t>Journal of Homosexuality</w:t>
      </w:r>
      <w:r w:rsidRPr="008900A2">
        <w:t xml:space="preserve">, </w:t>
      </w:r>
      <w:r w:rsidRPr="008900A2">
        <w:rPr>
          <w:i/>
          <w:iCs/>
        </w:rPr>
        <w:t>61</w:t>
      </w:r>
      <w:r w:rsidRPr="008900A2">
        <w:t>(8), 1172–1191. https://doi.org/10.1080/00918369.2014.872521</w:t>
      </w:r>
    </w:p>
    <w:p w14:paraId="447F961A" w14:textId="77777777" w:rsidR="00C72722" w:rsidRPr="008900A2" w:rsidRDefault="00C72722" w:rsidP="00C72722">
      <w:pPr>
        <w:pStyle w:val="Bibliography"/>
      </w:pPr>
      <w:r w:rsidRPr="008900A2">
        <w:t xml:space="preserve">James, S. E., Brown, C., &amp; Wilson, I. (2015). US Transgender Survey: Report on the Experiences of Black Respondents. Washington, DC and Dallas, TX: National Center for Transgender Equality. </w:t>
      </w:r>
      <w:r w:rsidRPr="008900A2">
        <w:rPr>
          <w:i/>
          <w:iCs/>
        </w:rPr>
        <w:t>Black Trans Advocacy, &amp; National Black Justice Coalition</w:t>
      </w:r>
      <w:r w:rsidRPr="008900A2">
        <w:t>.</w:t>
      </w:r>
    </w:p>
    <w:p w14:paraId="6DAE4CF1" w14:textId="77777777" w:rsidR="00C72722" w:rsidRPr="008900A2" w:rsidRDefault="00C72722" w:rsidP="00C72722">
      <w:r w:rsidRPr="008900A2">
        <w:t>Joiner, T.E., Jr. (2005). Why people die by suicide. Cambridge, MA: Harvard University Press.</w:t>
      </w:r>
    </w:p>
    <w:p w14:paraId="52CAB029" w14:textId="77777777" w:rsidR="00C72722" w:rsidRPr="008900A2" w:rsidRDefault="00C72722" w:rsidP="00C72722">
      <w:pPr>
        <w:pStyle w:val="Bibliography"/>
      </w:pPr>
      <w:r w:rsidRPr="008900A2">
        <w:t xml:space="preserve">Kroenke, K., Spitzer, R. L., &amp; Williams, J. B. W. (2001). The PHQ-9. </w:t>
      </w:r>
      <w:r w:rsidRPr="008900A2">
        <w:rPr>
          <w:i/>
          <w:iCs/>
        </w:rPr>
        <w:t>Journal of General Internal Medicine</w:t>
      </w:r>
      <w:r w:rsidRPr="008900A2">
        <w:t xml:space="preserve">, </w:t>
      </w:r>
      <w:r w:rsidRPr="008900A2">
        <w:rPr>
          <w:i/>
          <w:iCs/>
        </w:rPr>
        <w:t>16</w:t>
      </w:r>
      <w:r w:rsidRPr="008900A2">
        <w:t>(9), 606–613. https://doi.org/10.1046/j.1525-1497.2001.016009606.x</w:t>
      </w:r>
    </w:p>
    <w:p w14:paraId="44D5036A" w14:textId="77777777" w:rsidR="00C72722" w:rsidRPr="008900A2" w:rsidRDefault="00C72722" w:rsidP="00C72722">
      <w:pPr>
        <w:pStyle w:val="Bibliography"/>
      </w:pPr>
      <w:r w:rsidRPr="008900A2">
        <w:t xml:space="preserve">Law, K. C., Khazem, L. R., &amp; </w:t>
      </w:r>
      <w:proofErr w:type="spellStart"/>
      <w:r w:rsidRPr="008900A2">
        <w:t>Anestis</w:t>
      </w:r>
      <w:proofErr w:type="spellEnd"/>
      <w:r w:rsidRPr="008900A2">
        <w:t xml:space="preserve">, M. D. (2015). The role of emotion dysregulation in suicide as considered through the ideation to action framework. </w:t>
      </w:r>
      <w:r w:rsidRPr="008900A2">
        <w:rPr>
          <w:i/>
          <w:iCs/>
        </w:rPr>
        <w:t>Current Opinion in Psychology</w:t>
      </w:r>
      <w:r w:rsidRPr="008900A2">
        <w:t xml:space="preserve">, </w:t>
      </w:r>
      <w:r w:rsidRPr="008900A2">
        <w:rPr>
          <w:i/>
          <w:iCs/>
        </w:rPr>
        <w:t>3</w:t>
      </w:r>
      <w:r w:rsidRPr="008900A2">
        <w:t xml:space="preserve">, 30–35. </w:t>
      </w:r>
      <w:hyperlink r:id="rId19" w:history="1">
        <w:r w:rsidRPr="008900A2">
          <w:rPr>
            <w:rStyle w:val="Hyperlink"/>
          </w:rPr>
          <w:t>https://doi.org/10.1016/j.copsyc.2015.01.014</w:t>
        </w:r>
      </w:hyperlink>
    </w:p>
    <w:p w14:paraId="3AF0D047" w14:textId="77777777" w:rsidR="00C72722" w:rsidRPr="008900A2" w:rsidRDefault="00C72722" w:rsidP="00C72722">
      <w:pPr>
        <w:spacing w:line="480" w:lineRule="auto"/>
        <w:ind w:left="720" w:hanging="720"/>
        <w:rPr>
          <w:rStyle w:val="Hyperlink"/>
        </w:rPr>
      </w:pPr>
      <w:r w:rsidRPr="008900A2">
        <w:t>Mathy, R. M. (2003). Transgender identity and suicidality in a nonclinical sample: Sexual orientation, psychiatric history, and compulsive behaviors. </w:t>
      </w:r>
      <w:r w:rsidRPr="008900A2">
        <w:rPr>
          <w:i/>
          <w:iCs/>
        </w:rPr>
        <w:t>Journal of Psychology &amp; Human Sexuality</w:t>
      </w:r>
      <w:r w:rsidRPr="008900A2">
        <w:t>, </w:t>
      </w:r>
      <w:r w:rsidRPr="008900A2">
        <w:rPr>
          <w:i/>
          <w:iCs/>
        </w:rPr>
        <w:t>14</w:t>
      </w:r>
      <w:r w:rsidRPr="008900A2">
        <w:t>(4), 47-65.</w:t>
      </w:r>
      <w:hyperlink r:id="rId20" w:history="1">
        <w:r w:rsidRPr="008900A2">
          <w:rPr>
            <w:rStyle w:val="Hyperlink"/>
          </w:rPr>
          <w:t>https://doi.org/10.1300/J056v14n04_03</w:t>
        </w:r>
      </w:hyperlink>
    </w:p>
    <w:p w14:paraId="4372F44E" w14:textId="77777777" w:rsidR="00C72722" w:rsidRPr="008900A2" w:rsidRDefault="00C72722" w:rsidP="00C72722">
      <w:pPr>
        <w:spacing w:line="480" w:lineRule="auto"/>
        <w:ind w:left="720" w:hanging="720"/>
        <w:rPr>
          <w:rStyle w:val="Hyperlink"/>
          <w:color w:val="006ACC"/>
          <w:shd w:val="clear" w:color="auto" w:fill="FFFFFF"/>
        </w:rPr>
      </w:pPr>
      <w:r w:rsidRPr="008900A2">
        <w:rPr>
          <w:color w:val="222222"/>
          <w:shd w:val="clear" w:color="auto" w:fill="FFFFFF"/>
        </w:rPr>
        <w:t>Matsuno, E., &amp; Israel, T. (2018). Psychological interventions promoting resilience among transgender individuals: Transgender resilience intervention model (TRIM). </w:t>
      </w:r>
      <w:r w:rsidRPr="008900A2">
        <w:rPr>
          <w:i/>
          <w:iCs/>
          <w:color w:val="222222"/>
          <w:shd w:val="clear" w:color="auto" w:fill="FFFFFF"/>
        </w:rPr>
        <w:t>The Counseling Psychologist</w:t>
      </w:r>
      <w:r w:rsidRPr="008900A2">
        <w:rPr>
          <w:color w:val="222222"/>
          <w:shd w:val="clear" w:color="auto" w:fill="FFFFFF"/>
        </w:rPr>
        <w:t>, </w:t>
      </w:r>
      <w:r w:rsidRPr="008900A2">
        <w:rPr>
          <w:i/>
          <w:iCs/>
          <w:color w:val="222222"/>
          <w:shd w:val="clear" w:color="auto" w:fill="FFFFFF"/>
        </w:rPr>
        <w:t>46</w:t>
      </w:r>
      <w:r w:rsidRPr="008900A2">
        <w:rPr>
          <w:color w:val="222222"/>
          <w:shd w:val="clear" w:color="auto" w:fill="FFFFFF"/>
        </w:rPr>
        <w:t xml:space="preserve">(5), 632-655. </w:t>
      </w:r>
      <w:hyperlink r:id="rId21" w:history="1">
        <w:r w:rsidRPr="008900A2">
          <w:rPr>
            <w:rStyle w:val="Hyperlink"/>
            <w:color w:val="006ACC"/>
            <w:shd w:val="clear" w:color="auto" w:fill="FFFFFF"/>
          </w:rPr>
          <w:t>https://doi.org/10.1177/0011000018787261</w:t>
        </w:r>
      </w:hyperlink>
    </w:p>
    <w:p w14:paraId="2C133D3D" w14:textId="77777777" w:rsidR="00C72722" w:rsidRPr="008900A2" w:rsidRDefault="00C72722" w:rsidP="00C72722">
      <w:pPr>
        <w:spacing w:line="480" w:lineRule="auto"/>
        <w:ind w:left="720" w:hanging="720"/>
      </w:pPr>
      <w:r w:rsidRPr="008900A2">
        <w:t>MacCallum, R. C., Browne, M. W., &amp; Sugawara, H. M. (1996). Power analysis and determination of sample size for covariance structure modeling. </w:t>
      </w:r>
      <w:r w:rsidRPr="008900A2">
        <w:rPr>
          <w:i/>
          <w:iCs/>
        </w:rPr>
        <w:t>Psychological methods</w:t>
      </w:r>
      <w:r w:rsidRPr="008900A2">
        <w:t>, </w:t>
      </w:r>
      <w:r w:rsidRPr="008900A2">
        <w:rPr>
          <w:i/>
          <w:iCs/>
        </w:rPr>
        <w:t>1</w:t>
      </w:r>
      <w:r w:rsidRPr="008900A2">
        <w:t>(2), 130</w:t>
      </w:r>
      <w:r w:rsidR="00EC45A1" w:rsidRPr="008900A2">
        <w:t>-149</w:t>
      </w:r>
      <w:r w:rsidRPr="008900A2">
        <w:t>.</w:t>
      </w:r>
    </w:p>
    <w:p w14:paraId="79210C06" w14:textId="0B1D254B" w:rsidR="00C72722" w:rsidRPr="008900A2" w:rsidRDefault="00C72722" w:rsidP="00C72722">
      <w:pPr>
        <w:pStyle w:val="Bibliography"/>
      </w:pPr>
      <w:r w:rsidRPr="008900A2">
        <w:t xml:space="preserve">McLemore, K. A. (2015). Experiences with </w:t>
      </w:r>
      <w:r w:rsidR="00EC45A1" w:rsidRPr="008900A2">
        <w:t>misgendering</w:t>
      </w:r>
      <w:r w:rsidRPr="008900A2">
        <w:t xml:space="preserve">: Identity </w:t>
      </w:r>
      <w:r w:rsidR="00EC45A1" w:rsidRPr="008900A2">
        <w:t>misclassification</w:t>
      </w:r>
      <w:r w:rsidRPr="008900A2">
        <w:t xml:space="preserve"> of </w:t>
      </w:r>
      <w:r w:rsidR="00EC45A1" w:rsidRPr="008900A2">
        <w:t>transgender spectrum individ</w:t>
      </w:r>
      <w:r w:rsidRPr="008900A2">
        <w:t xml:space="preserve">uals. </w:t>
      </w:r>
      <w:r w:rsidRPr="008900A2">
        <w:rPr>
          <w:i/>
          <w:iCs/>
        </w:rPr>
        <w:t>Self and Identity</w:t>
      </w:r>
      <w:r w:rsidRPr="008900A2">
        <w:t xml:space="preserve">, </w:t>
      </w:r>
      <w:r w:rsidRPr="008900A2">
        <w:rPr>
          <w:i/>
          <w:iCs/>
        </w:rPr>
        <w:t>14</w:t>
      </w:r>
      <w:r w:rsidRPr="008900A2">
        <w:t xml:space="preserve">(1), 51–74. </w:t>
      </w:r>
      <w:hyperlink r:id="rId22" w:history="1">
        <w:r w:rsidRPr="008900A2">
          <w:rPr>
            <w:rStyle w:val="Hyperlink"/>
          </w:rPr>
          <w:t>https://doi.org/10.1080/15298868.2014.950691</w:t>
        </w:r>
      </w:hyperlink>
    </w:p>
    <w:p w14:paraId="03D72B3C" w14:textId="77777777" w:rsidR="00C72722" w:rsidRPr="008900A2" w:rsidRDefault="00C72722" w:rsidP="00C72722">
      <w:pPr>
        <w:spacing w:line="480" w:lineRule="auto"/>
        <w:ind w:left="720" w:hanging="720"/>
      </w:pPr>
      <w:r w:rsidRPr="008900A2">
        <w:t xml:space="preserve">Merwin, E., Hinton, I., </w:t>
      </w:r>
      <w:proofErr w:type="spellStart"/>
      <w:r w:rsidRPr="008900A2">
        <w:t>Dembling</w:t>
      </w:r>
      <w:proofErr w:type="spellEnd"/>
      <w:r w:rsidRPr="008900A2">
        <w:t>, B., &amp; Stern, S. (2003). Shortages of rural mental health professionals. </w:t>
      </w:r>
      <w:r w:rsidRPr="008900A2">
        <w:rPr>
          <w:i/>
          <w:iCs/>
        </w:rPr>
        <w:t>Archives of Psychiatric Nursing</w:t>
      </w:r>
      <w:r w:rsidRPr="008900A2">
        <w:t>, </w:t>
      </w:r>
      <w:r w:rsidRPr="008900A2">
        <w:rPr>
          <w:i/>
          <w:iCs/>
        </w:rPr>
        <w:t>17</w:t>
      </w:r>
      <w:r w:rsidRPr="008900A2">
        <w:t xml:space="preserve">(1), 42-51. </w:t>
      </w:r>
      <w:hyperlink r:id="rId23" w:history="1">
        <w:r w:rsidRPr="008900A2">
          <w:rPr>
            <w:rStyle w:val="Hyperlink"/>
          </w:rPr>
          <w:t>https://doi.org/10.1053/apnu.2003.1</w:t>
        </w:r>
      </w:hyperlink>
    </w:p>
    <w:p w14:paraId="70A24362" w14:textId="236D46FD" w:rsidR="00C72722" w:rsidRPr="008900A2" w:rsidRDefault="00C72722" w:rsidP="00C72722">
      <w:pPr>
        <w:pStyle w:val="Bibliography"/>
      </w:pPr>
      <w:r w:rsidRPr="008900A2">
        <w:t xml:space="preserve">Meyer, I. H. (2003). Prejudice, </w:t>
      </w:r>
      <w:r w:rsidR="00EC45A1" w:rsidRPr="008900A2">
        <w:t>social stress</w:t>
      </w:r>
      <w:r w:rsidRPr="008900A2">
        <w:t xml:space="preserve">, and </w:t>
      </w:r>
      <w:r w:rsidR="00EC45A1" w:rsidRPr="008900A2">
        <w:t>mental health</w:t>
      </w:r>
      <w:r w:rsidRPr="008900A2">
        <w:t xml:space="preserve"> in </w:t>
      </w:r>
      <w:r w:rsidR="00EC45A1" w:rsidRPr="008900A2">
        <w:t>lesbian, gay</w:t>
      </w:r>
      <w:r w:rsidRPr="008900A2">
        <w:t xml:space="preserve">, and </w:t>
      </w:r>
      <w:r w:rsidR="00EC45A1" w:rsidRPr="008900A2">
        <w:t>bisexual popu</w:t>
      </w:r>
      <w:r w:rsidRPr="008900A2">
        <w:t xml:space="preserve">lations: Conceptual </w:t>
      </w:r>
      <w:r w:rsidR="00EC45A1" w:rsidRPr="008900A2">
        <w:t>issues</w:t>
      </w:r>
      <w:r w:rsidRPr="008900A2">
        <w:t xml:space="preserve"> and </w:t>
      </w:r>
      <w:r w:rsidR="00EC45A1" w:rsidRPr="008900A2">
        <w:t>research ev</w:t>
      </w:r>
      <w:r w:rsidRPr="008900A2">
        <w:t xml:space="preserve">idence. </w:t>
      </w:r>
      <w:r w:rsidRPr="008900A2">
        <w:rPr>
          <w:i/>
          <w:iCs/>
        </w:rPr>
        <w:t>Psychological Bulletin</w:t>
      </w:r>
      <w:r w:rsidRPr="008900A2">
        <w:t xml:space="preserve">, </w:t>
      </w:r>
      <w:r w:rsidRPr="008900A2">
        <w:rPr>
          <w:i/>
          <w:iCs/>
        </w:rPr>
        <w:t>129</w:t>
      </w:r>
      <w:r w:rsidRPr="008900A2">
        <w:t>(5), 674–697. https://doi.org/10.1037/0033-2909.129.5.674</w:t>
      </w:r>
    </w:p>
    <w:p w14:paraId="1BFFF559" w14:textId="73430284" w:rsidR="00C72722" w:rsidRDefault="00C72722" w:rsidP="00C72722">
      <w:pPr>
        <w:pStyle w:val="Bibliography"/>
        <w:rPr>
          <w:rStyle w:val="Hyperlink"/>
        </w:rPr>
      </w:pPr>
      <w:r w:rsidRPr="008900A2">
        <w:t xml:space="preserve">Miller, L. R., &amp; Grollman, E. A. (2015). The </w:t>
      </w:r>
      <w:r w:rsidR="000D13D5" w:rsidRPr="008900A2">
        <w:t>social costs</w:t>
      </w:r>
      <w:r w:rsidRPr="008900A2">
        <w:t xml:space="preserve"> of </w:t>
      </w:r>
      <w:r w:rsidR="000D13D5" w:rsidRPr="008900A2">
        <w:t>gender nonconformity</w:t>
      </w:r>
      <w:r w:rsidRPr="008900A2">
        <w:t xml:space="preserve"> for </w:t>
      </w:r>
      <w:r w:rsidR="000D13D5" w:rsidRPr="008900A2">
        <w:t>transgender a</w:t>
      </w:r>
      <w:r w:rsidRPr="008900A2">
        <w:t xml:space="preserve">dults: Implications for </w:t>
      </w:r>
      <w:r w:rsidR="000D13D5" w:rsidRPr="008900A2">
        <w:t>discrimination</w:t>
      </w:r>
      <w:r w:rsidRPr="008900A2">
        <w:t xml:space="preserve"> and </w:t>
      </w:r>
      <w:r w:rsidR="000D13D5" w:rsidRPr="008900A2">
        <w:t>healt</w:t>
      </w:r>
      <w:r w:rsidRPr="008900A2">
        <w:t xml:space="preserve">h. </w:t>
      </w:r>
      <w:r w:rsidRPr="008900A2">
        <w:rPr>
          <w:i/>
          <w:iCs/>
        </w:rPr>
        <w:t>Sociological Forum</w:t>
      </w:r>
      <w:r w:rsidRPr="008900A2">
        <w:t xml:space="preserve">, </w:t>
      </w:r>
      <w:r w:rsidRPr="008900A2">
        <w:rPr>
          <w:i/>
          <w:iCs/>
        </w:rPr>
        <w:t>30</w:t>
      </w:r>
      <w:r w:rsidRPr="008900A2">
        <w:t xml:space="preserve">(3), 809–831. </w:t>
      </w:r>
      <w:hyperlink r:id="rId24" w:history="1">
        <w:r w:rsidRPr="008900A2">
          <w:rPr>
            <w:rStyle w:val="Hyperlink"/>
          </w:rPr>
          <w:t>https://doi.org/10.1111/socf.12193</w:t>
        </w:r>
      </w:hyperlink>
    </w:p>
    <w:p w14:paraId="48F8547D" w14:textId="7F6F8BFD" w:rsidR="00A12807" w:rsidRPr="00A12807" w:rsidRDefault="00A12807" w:rsidP="00A12807">
      <w:pPr>
        <w:spacing w:line="480" w:lineRule="auto"/>
        <w:ind w:left="720" w:hanging="720"/>
      </w:pPr>
      <w:r w:rsidRPr="00A12807">
        <w:t>Mocarski, R., King, R., Butler, S., Holt, N. R., Huit, T. Z., Hope, D. A., ... &amp; Woodruff, N. (2019). The rise of transgender and gender diverse representation in the media: Impacts on the population. Communication, culture &amp; critique, 12(3), 416-433.</w:t>
      </w:r>
      <w:r w:rsidR="0051555D">
        <w:t xml:space="preserve"> </w:t>
      </w:r>
      <w:r w:rsidR="0051555D" w:rsidRPr="0051555D">
        <w:t>https://doi.org/10.1093/ccc/tcz031</w:t>
      </w:r>
    </w:p>
    <w:p w14:paraId="45741CCA" w14:textId="77777777" w:rsidR="00C72722" w:rsidRPr="008900A2" w:rsidRDefault="00C72722" w:rsidP="00C72722">
      <w:pPr>
        <w:pStyle w:val="Bibliography"/>
      </w:pPr>
      <w:r w:rsidRPr="008900A2">
        <w:t xml:space="preserve">Muthén, L. K., &amp; Muthén, B. O. (2017). 1998–2017. </w:t>
      </w:r>
      <w:proofErr w:type="spellStart"/>
      <w:r w:rsidRPr="008900A2">
        <w:t>Mplus</w:t>
      </w:r>
      <w:proofErr w:type="spellEnd"/>
      <w:r w:rsidRPr="008900A2">
        <w:t xml:space="preserve"> User’s Guide. </w:t>
      </w:r>
      <w:r w:rsidRPr="008900A2">
        <w:rPr>
          <w:i/>
          <w:iCs/>
        </w:rPr>
        <w:t>Los Angeles, CA: Muthén &amp; Muthén</w:t>
      </w:r>
      <w:r w:rsidRPr="008900A2">
        <w:t>.</w:t>
      </w:r>
    </w:p>
    <w:p w14:paraId="128159D6" w14:textId="43DE3AFC" w:rsidR="00C72722" w:rsidRPr="008900A2" w:rsidRDefault="00C72722" w:rsidP="00C72722">
      <w:pPr>
        <w:pStyle w:val="Bibliography"/>
      </w:pPr>
      <w:r w:rsidRPr="008900A2">
        <w:t xml:space="preserve">Nock, M. K., Borges, G., </w:t>
      </w:r>
      <w:proofErr w:type="spellStart"/>
      <w:r w:rsidRPr="008900A2">
        <w:t>Bromet</w:t>
      </w:r>
      <w:proofErr w:type="spellEnd"/>
      <w:r w:rsidRPr="008900A2">
        <w:t xml:space="preserve">, E. J., Cha, C. B., Kessler, R. C., &amp; Lee, S. (2008). Suicide and </w:t>
      </w:r>
      <w:r w:rsidR="000D13D5" w:rsidRPr="008900A2">
        <w:t>suicidal behavior</w:t>
      </w:r>
      <w:r w:rsidRPr="008900A2">
        <w:t xml:space="preserve">. </w:t>
      </w:r>
      <w:r w:rsidRPr="008900A2">
        <w:rPr>
          <w:i/>
          <w:iCs/>
        </w:rPr>
        <w:t>Epidemiologic Reviews</w:t>
      </w:r>
      <w:r w:rsidRPr="008900A2">
        <w:t xml:space="preserve">, </w:t>
      </w:r>
      <w:r w:rsidRPr="008900A2">
        <w:rPr>
          <w:i/>
          <w:iCs/>
        </w:rPr>
        <w:t>30</w:t>
      </w:r>
      <w:r w:rsidRPr="008900A2">
        <w:t>(1), 133–154. https://doi.org/10.1093/epirev/mxn002</w:t>
      </w:r>
    </w:p>
    <w:p w14:paraId="0760222A" w14:textId="77777777" w:rsidR="00C72722" w:rsidRPr="008900A2" w:rsidRDefault="00C72722" w:rsidP="00C72722">
      <w:pPr>
        <w:pStyle w:val="Bibliography"/>
      </w:pPr>
      <w:r w:rsidRPr="008900A2">
        <w:t xml:space="preserve">Nolen-Hoeksema, S. (1991). Responses to depression and their effects on the duration of depressive episodes. </w:t>
      </w:r>
      <w:r w:rsidRPr="008900A2">
        <w:rPr>
          <w:i/>
          <w:iCs/>
        </w:rPr>
        <w:t>Journal of Abnormal Psychology</w:t>
      </w:r>
      <w:r w:rsidRPr="008900A2">
        <w:t xml:space="preserve">, </w:t>
      </w:r>
      <w:r w:rsidRPr="008900A2">
        <w:rPr>
          <w:i/>
          <w:iCs/>
        </w:rPr>
        <w:t>100</w:t>
      </w:r>
      <w:r w:rsidRPr="008900A2">
        <w:t>(4), 569–582. https://doi.org/10.1037/0021-843X.100.4.569</w:t>
      </w:r>
    </w:p>
    <w:p w14:paraId="0E0B5A4F" w14:textId="0358F642" w:rsidR="00C72722" w:rsidRPr="008900A2" w:rsidRDefault="00C72722" w:rsidP="00C72722">
      <w:pPr>
        <w:pStyle w:val="Bibliography"/>
      </w:pPr>
      <w:r w:rsidRPr="008900A2">
        <w:t xml:space="preserve">Nolen-Hoeksema, S., Wisco, B. E., &amp; Lyubomirsky, S. (2008). Rethinking </w:t>
      </w:r>
      <w:r w:rsidR="000D13D5" w:rsidRPr="008900A2">
        <w:t>r</w:t>
      </w:r>
      <w:r w:rsidRPr="008900A2">
        <w:t xml:space="preserve">umination. </w:t>
      </w:r>
      <w:r w:rsidRPr="008900A2">
        <w:rPr>
          <w:i/>
          <w:iCs/>
        </w:rPr>
        <w:t>Perspectives on Psychological Science</w:t>
      </w:r>
      <w:r w:rsidRPr="008900A2">
        <w:t xml:space="preserve">, </w:t>
      </w:r>
      <w:r w:rsidRPr="008900A2">
        <w:rPr>
          <w:i/>
          <w:iCs/>
        </w:rPr>
        <w:t>3</w:t>
      </w:r>
      <w:r w:rsidRPr="008900A2">
        <w:t>(5), 400–424. https://doi.org/10.1111/j.1745-6924.2008.00088.x</w:t>
      </w:r>
    </w:p>
    <w:p w14:paraId="64945340" w14:textId="48A15EAE" w:rsidR="00C72722" w:rsidRDefault="00C72722" w:rsidP="00C72722">
      <w:pPr>
        <w:pStyle w:val="Bibliography"/>
      </w:pPr>
      <w:r w:rsidRPr="008900A2">
        <w:t xml:space="preserve">Nuttbrock, L., </w:t>
      </w:r>
      <w:proofErr w:type="spellStart"/>
      <w:r w:rsidRPr="008900A2">
        <w:t>Hwahng</w:t>
      </w:r>
      <w:proofErr w:type="spellEnd"/>
      <w:r w:rsidRPr="008900A2">
        <w:t xml:space="preserve">, S., Bockting, W., Rosenblum, A., Mason, M., Macri, M., &amp; Becker, J. (2010). Psychiatric </w:t>
      </w:r>
      <w:r w:rsidR="000D13D5" w:rsidRPr="008900A2">
        <w:t>impact</w:t>
      </w:r>
      <w:r w:rsidRPr="008900A2">
        <w:t xml:space="preserve"> of </w:t>
      </w:r>
      <w:r w:rsidR="000D13D5" w:rsidRPr="008900A2">
        <w:t>gender-related abuse across</w:t>
      </w:r>
      <w:r w:rsidRPr="008900A2">
        <w:t xml:space="preserve"> the </w:t>
      </w:r>
      <w:r w:rsidR="000D13D5" w:rsidRPr="008900A2">
        <w:t>life course</w:t>
      </w:r>
      <w:r w:rsidRPr="008900A2">
        <w:t xml:space="preserve"> of </w:t>
      </w:r>
      <w:r w:rsidR="000D13D5" w:rsidRPr="008900A2">
        <w:t>male</w:t>
      </w:r>
      <w:r w:rsidRPr="008900A2">
        <w:t>-to-</w:t>
      </w:r>
      <w:r w:rsidR="000D13D5" w:rsidRPr="008900A2">
        <w:t>female transgender pe</w:t>
      </w:r>
      <w:r w:rsidRPr="008900A2">
        <w:t xml:space="preserve">rsons. </w:t>
      </w:r>
      <w:r w:rsidRPr="008900A2">
        <w:rPr>
          <w:i/>
          <w:iCs/>
        </w:rPr>
        <w:t>The Journal of Sex Research</w:t>
      </w:r>
      <w:r w:rsidRPr="008900A2">
        <w:t xml:space="preserve">, </w:t>
      </w:r>
      <w:r w:rsidRPr="008900A2">
        <w:rPr>
          <w:i/>
          <w:iCs/>
        </w:rPr>
        <w:t>47</w:t>
      </w:r>
      <w:r w:rsidRPr="008900A2">
        <w:t xml:space="preserve">(1), 12–23. </w:t>
      </w:r>
      <w:hyperlink r:id="rId25" w:history="1">
        <w:r w:rsidR="007B60FD" w:rsidRPr="004A769B">
          <w:rPr>
            <w:rStyle w:val="Hyperlink"/>
          </w:rPr>
          <w:t>https://doi.org/10.1080/00224490903062258</w:t>
        </w:r>
      </w:hyperlink>
    </w:p>
    <w:p w14:paraId="409EC355" w14:textId="32B36E2E" w:rsidR="007B60FD" w:rsidRPr="007B60FD" w:rsidRDefault="007B60FD" w:rsidP="007B60FD">
      <w:pPr>
        <w:spacing w:line="480" w:lineRule="auto"/>
        <w:ind w:left="720" w:hanging="720"/>
      </w:pPr>
      <w:r w:rsidRPr="007B60FD">
        <w:t>Obasi, S. N., Mocarski, R., Holt, N., Hope, D. A., &amp; Woodruff, N. (2019). Renaming me: Assessing the influence of gender identity on name selection. Names, 67(4), 199-211.</w:t>
      </w:r>
      <w:r w:rsidR="008940A4">
        <w:t xml:space="preserve"> </w:t>
      </w:r>
      <w:r w:rsidR="008940A4" w:rsidRPr="008940A4">
        <w:t>https://doi.org/10.1080/00277738.2018.1536188</w:t>
      </w:r>
    </w:p>
    <w:p w14:paraId="294AB430" w14:textId="32697ED1" w:rsidR="00C72722" w:rsidRPr="008900A2" w:rsidRDefault="00C72722" w:rsidP="00C72722">
      <w:pPr>
        <w:pStyle w:val="Bibliography"/>
      </w:pPr>
      <w:r w:rsidRPr="008900A2">
        <w:t xml:space="preserve">Park-Lee, E., Lipari, R. N., Hedden, S. L., Kroutil, L. A., &amp; Porter, J. D. (2016). Receipt of </w:t>
      </w:r>
      <w:r w:rsidR="000D13D5" w:rsidRPr="008900A2">
        <w:t>services</w:t>
      </w:r>
      <w:r w:rsidRPr="008900A2">
        <w:t xml:space="preserve"> for </w:t>
      </w:r>
      <w:r w:rsidR="000D13D5" w:rsidRPr="008900A2">
        <w:t>substance use and mental health issues among adults</w:t>
      </w:r>
      <w:r w:rsidRPr="008900A2">
        <w:t>: Results from the 2016 National Survey on Drug Use and Health. Retrieved from http://europepmc.org/abstract/med/29431966</w:t>
      </w:r>
    </w:p>
    <w:p w14:paraId="31EF6B88" w14:textId="00B957E6" w:rsidR="00C72722" w:rsidRPr="008900A2" w:rsidRDefault="00C72722" w:rsidP="00C72722">
      <w:pPr>
        <w:pStyle w:val="Bibliography"/>
      </w:pPr>
      <w:r w:rsidRPr="008900A2">
        <w:t xml:space="preserve">Priester, M. A., Browne, T., Iachini, A., Clone, S., DeHart, D., &amp; Seay, K. D. (2016). Treatment access barriers and disparities among individuals with co‐occurring mental health and </w:t>
      </w:r>
      <w:r w:rsidR="000D13D5" w:rsidRPr="008900A2">
        <w:t>substance use disorders</w:t>
      </w:r>
      <w:r w:rsidRPr="008900A2">
        <w:t xml:space="preserve">: An integrative literature review. </w:t>
      </w:r>
      <w:r w:rsidRPr="008900A2">
        <w:rPr>
          <w:i/>
          <w:iCs/>
        </w:rPr>
        <w:t>Journal of Substance Abuse</w:t>
      </w:r>
      <w:r w:rsidRPr="008900A2">
        <w:t xml:space="preserve"> </w:t>
      </w:r>
      <w:r w:rsidRPr="008900A2">
        <w:rPr>
          <w:i/>
          <w:iCs/>
        </w:rPr>
        <w:t>Treatment</w:t>
      </w:r>
      <w:r w:rsidRPr="008900A2">
        <w:t xml:space="preserve">, </w:t>
      </w:r>
      <w:r w:rsidRPr="008900A2">
        <w:rPr>
          <w:i/>
          <w:iCs/>
        </w:rPr>
        <w:t>61</w:t>
      </w:r>
      <w:r w:rsidRPr="008900A2">
        <w:t xml:space="preserve">, 47–59. </w:t>
      </w:r>
      <w:hyperlink r:id="rId26" w:history="1">
        <w:r w:rsidRPr="008900A2">
          <w:rPr>
            <w:rStyle w:val="Hyperlink"/>
          </w:rPr>
          <w:t>https://doi.org/10.1016/j.jsat.2015.09.006</w:t>
        </w:r>
      </w:hyperlink>
    </w:p>
    <w:p w14:paraId="69FA05ED" w14:textId="201508E3" w:rsidR="000D13D5" w:rsidRPr="008900A2" w:rsidRDefault="00C72722" w:rsidP="00C72722">
      <w:pPr>
        <w:spacing w:line="480" w:lineRule="auto"/>
        <w:ind w:left="720" w:hanging="720"/>
      </w:pPr>
      <w:r w:rsidRPr="008900A2">
        <w:t xml:space="preserve">Puckett, J. A., Maroney, M. R., Wadsworth, L. P., </w:t>
      </w:r>
      <w:proofErr w:type="spellStart"/>
      <w:r w:rsidRPr="008900A2">
        <w:t>Mustanski</w:t>
      </w:r>
      <w:proofErr w:type="spellEnd"/>
      <w:r w:rsidRPr="008900A2">
        <w:t xml:space="preserve">, B., &amp; Newcomb, M. E. </w:t>
      </w:r>
      <w:r w:rsidR="000D13D5" w:rsidRPr="008900A2">
        <w:t>(2020). Coping with discrimination: The insidious effects of gender minority stigma on depression and anxiety in transgender individuals. </w:t>
      </w:r>
      <w:r w:rsidR="000D13D5" w:rsidRPr="008900A2">
        <w:rPr>
          <w:i/>
          <w:iCs/>
        </w:rPr>
        <w:t>Journal of Clinical Psychology</w:t>
      </w:r>
      <w:r w:rsidR="000D13D5" w:rsidRPr="008900A2">
        <w:t>, </w:t>
      </w:r>
      <w:r w:rsidR="000D13D5" w:rsidRPr="008900A2">
        <w:rPr>
          <w:i/>
          <w:iCs/>
        </w:rPr>
        <w:t>76</w:t>
      </w:r>
      <w:r w:rsidR="000D13D5" w:rsidRPr="008900A2">
        <w:t>(1), 176-194.</w:t>
      </w:r>
    </w:p>
    <w:p w14:paraId="34A1F42C" w14:textId="1D1F14AF" w:rsidR="000D13D5" w:rsidRPr="008900A2" w:rsidRDefault="00C72722" w:rsidP="00C72722">
      <w:pPr>
        <w:spacing w:line="480" w:lineRule="auto"/>
        <w:ind w:left="720" w:hanging="720"/>
        <w:rPr>
          <w:rStyle w:val="Hyperlink"/>
        </w:rPr>
      </w:pPr>
      <w:r w:rsidRPr="008900A2">
        <w:t xml:space="preserve">Puckett, J. A., Matsuno, E., Dyar, C., </w:t>
      </w:r>
      <w:proofErr w:type="spellStart"/>
      <w:r w:rsidRPr="008900A2">
        <w:t>Mustanski</w:t>
      </w:r>
      <w:proofErr w:type="spellEnd"/>
      <w:r w:rsidRPr="008900A2">
        <w:t>, B., &amp; Newcomb, M. E</w:t>
      </w:r>
      <w:r w:rsidR="000D13D5" w:rsidRPr="008900A2">
        <w:t>. (2019). Mental health and resilience in transgender individuals: What type of support makes a difference? </w:t>
      </w:r>
      <w:r w:rsidR="000D13D5" w:rsidRPr="008900A2">
        <w:rPr>
          <w:i/>
        </w:rPr>
        <w:t>Journal of Family Psychology</w:t>
      </w:r>
      <w:r w:rsidR="000D13D5" w:rsidRPr="008900A2">
        <w:rPr>
          <w:i/>
          <w:iCs/>
        </w:rPr>
        <w:t>, 33</w:t>
      </w:r>
      <w:r w:rsidR="000D13D5" w:rsidRPr="008900A2">
        <w:t>(8), 954–964. </w:t>
      </w:r>
      <w:hyperlink r:id="rId27" w:tgtFrame="_blank" w:history="1">
        <w:r w:rsidR="000D13D5" w:rsidRPr="008900A2">
          <w:rPr>
            <w:rStyle w:val="Hyperlink"/>
          </w:rPr>
          <w:t>https://doi.org/10.1037/fam0000561</w:t>
        </w:r>
      </w:hyperlink>
    </w:p>
    <w:p w14:paraId="456735D9" w14:textId="2F0361C7" w:rsidR="00C72722" w:rsidRPr="008900A2" w:rsidRDefault="00C72722" w:rsidP="00C72722">
      <w:pPr>
        <w:spacing w:line="480" w:lineRule="auto"/>
        <w:ind w:left="720" w:hanging="720"/>
      </w:pPr>
      <w:r w:rsidRPr="008900A2">
        <w:t xml:space="preserve">Preacher, K. J., Rucker, D. D., &amp; Hayes, A. F. (2007). Addressing moderated mediation hypotheses: Theory, methods, and prescriptions. </w:t>
      </w:r>
      <w:r w:rsidRPr="008900A2">
        <w:rPr>
          <w:i/>
        </w:rPr>
        <w:t xml:space="preserve">Multivariate </w:t>
      </w:r>
      <w:r w:rsidR="000D13D5" w:rsidRPr="008900A2">
        <w:rPr>
          <w:i/>
          <w:iCs/>
        </w:rPr>
        <w:t>B</w:t>
      </w:r>
      <w:r w:rsidRPr="008900A2">
        <w:rPr>
          <w:i/>
          <w:iCs/>
        </w:rPr>
        <w:t xml:space="preserve">ehavioral </w:t>
      </w:r>
      <w:r w:rsidR="000D13D5" w:rsidRPr="008900A2">
        <w:rPr>
          <w:i/>
          <w:iCs/>
        </w:rPr>
        <w:t>R</w:t>
      </w:r>
      <w:r w:rsidRPr="008900A2">
        <w:rPr>
          <w:i/>
        </w:rPr>
        <w:t>esearch</w:t>
      </w:r>
      <w:r w:rsidRPr="008900A2">
        <w:t xml:space="preserve">, 42(1), 185-227. </w:t>
      </w:r>
      <w:r w:rsidR="000D13D5" w:rsidRPr="008900A2">
        <w:t>https://doi.org/</w:t>
      </w:r>
      <w:r w:rsidRPr="008900A2">
        <w:t>10.1080/00273170701341316</w:t>
      </w:r>
    </w:p>
    <w:p w14:paraId="2389A837" w14:textId="0CD2C8DD" w:rsidR="00C72722" w:rsidRPr="008900A2" w:rsidRDefault="00C72722" w:rsidP="00C72722">
      <w:pPr>
        <w:pStyle w:val="CommentText"/>
        <w:spacing w:line="480" w:lineRule="auto"/>
        <w:ind w:left="720" w:hanging="720"/>
        <w:rPr>
          <w:sz w:val="24"/>
          <w:szCs w:val="24"/>
        </w:rPr>
      </w:pPr>
      <w:r w:rsidRPr="008900A2">
        <w:rPr>
          <w:color w:val="222222"/>
          <w:sz w:val="24"/>
          <w:szCs w:val="24"/>
          <w:shd w:val="clear" w:color="auto" w:fill="FFFFFF"/>
        </w:rPr>
        <w:t>Rood, B. A., Reisner, S. L., Puckett, J. A., Surace, F. I., Berman, A. K., &amp; Pantalone, D. W. (2017). Internalized transphobia: Exploring perceptions of social messages in transgender and gender-nonconforming adults. </w:t>
      </w:r>
      <w:r w:rsidRPr="008900A2">
        <w:rPr>
          <w:i/>
          <w:iCs/>
          <w:color w:val="222222"/>
          <w:sz w:val="24"/>
          <w:szCs w:val="24"/>
          <w:shd w:val="clear" w:color="auto" w:fill="FFFFFF"/>
        </w:rPr>
        <w:t>International Journal of Transgenderism</w:t>
      </w:r>
      <w:r w:rsidRPr="008900A2">
        <w:rPr>
          <w:color w:val="222222"/>
          <w:sz w:val="24"/>
          <w:szCs w:val="24"/>
          <w:shd w:val="clear" w:color="auto" w:fill="FFFFFF"/>
        </w:rPr>
        <w:t>, </w:t>
      </w:r>
      <w:r w:rsidRPr="008900A2">
        <w:rPr>
          <w:i/>
          <w:iCs/>
          <w:color w:val="222222"/>
          <w:sz w:val="24"/>
          <w:szCs w:val="24"/>
          <w:shd w:val="clear" w:color="auto" w:fill="FFFFFF"/>
        </w:rPr>
        <w:t>18</w:t>
      </w:r>
      <w:r w:rsidRPr="008900A2">
        <w:rPr>
          <w:color w:val="222222"/>
          <w:sz w:val="24"/>
          <w:szCs w:val="24"/>
          <w:shd w:val="clear" w:color="auto" w:fill="FFFFFF"/>
        </w:rPr>
        <w:t xml:space="preserve">(4), 411-426. </w:t>
      </w:r>
      <w:r w:rsidR="000D13D5" w:rsidRPr="008900A2">
        <w:rPr>
          <w:sz w:val="24"/>
          <w:szCs w:val="24"/>
        </w:rPr>
        <w:t>https://doi.org/</w:t>
      </w:r>
      <w:r w:rsidRPr="008900A2">
        <w:rPr>
          <w:sz w:val="24"/>
          <w:szCs w:val="24"/>
        </w:rPr>
        <w:t>10.1080/15532739.2017.1329048</w:t>
      </w:r>
    </w:p>
    <w:p w14:paraId="73070C69" w14:textId="07ED74F8" w:rsidR="00C72722" w:rsidRPr="008900A2" w:rsidRDefault="00C72722" w:rsidP="00C72722">
      <w:pPr>
        <w:pStyle w:val="Bibliography"/>
      </w:pPr>
      <w:r w:rsidRPr="008900A2">
        <w:t xml:space="preserve">Rojas, S. M., Leen-Feldner, E. W., Blumenthal, H., Lewis, S. F., &amp; Feldner, M. T. (2015). Risk for </w:t>
      </w:r>
      <w:r w:rsidR="000D13D5" w:rsidRPr="008900A2">
        <w:t>suicide among treatment seeking adolescents</w:t>
      </w:r>
      <w:r w:rsidRPr="008900A2">
        <w:t xml:space="preserve">: </w:t>
      </w:r>
      <w:r w:rsidR="000D13D5" w:rsidRPr="008900A2">
        <w:t>the role</w:t>
      </w:r>
      <w:r w:rsidRPr="008900A2">
        <w:t xml:space="preserve"> of </w:t>
      </w:r>
      <w:r w:rsidR="000D13D5" w:rsidRPr="008900A2">
        <w:t>positive</w:t>
      </w:r>
      <w:r w:rsidRPr="008900A2">
        <w:t xml:space="preserve"> and </w:t>
      </w:r>
      <w:r w:rsidR="000D13D5" w:rsidRPr="008900A2">
        <w:t>negative affect inte</w:t>
      </w:r>
      <w:r w:rsidRPr="008900A2">
        <w:t xml:space="preserve">nsity. </w:t>
      </w:r>
      <w:r w:rsidRPr="008900A2">
        <w:rPr>
          <w:i/>
          <w:iCs/>
        </w:rPr>
        <w:t>Cognitive Therapy and Research</w:t>
      </w:r>
      <w:r w:rsidRPr="008900A2">
        <w:t xml:space="preserve">, </w:t>
      </w:r>
      <w:r w:rsidRPr="008900A2">
        <w:rPr>
          <w:i/>
          <w:iCs/>
        </w:rPr>
        <w:t>39</w:t>
      </w:r>
      <w:r w:rsidRPr="008900A2">
        <w:t xml:space="preserve">(2), 100–109. </w:t>
      </w:r>
      <w:hyperlink r:id="rId28" w:history="1">
        <w:r w:rsidRPr="008900A2">
          <w:rPr>
            <w:rStyle w:val="Hyperlink"/>
          </w:rPr>
          <w:t>https://doi.org/10.1007/s10608-014-9650-8</w:t>
        </w:r>
      </w:hyperlink>
    </w:p>
    <w:p w14:paraId="70740E74" w14:textId="1F64758E" w:rsidR="00C72722" w:rsidRPr="008900A2" w:rsidRDefault="00C72722" w:rsidP="00C72722">
      <w:pPr>
        <w:spacing w:line="480" w:lineRule="auto"/>
        <w:ind w:left="720" w:hanging="720"/>
      </w:pPr>
      <w:r w:rsidRPr="008900A2">
        <w:t>Shrout, P. E., &amp; Bolger, N. (2002). Mediation in experimental and nonexperimental studies: new procedures and recommendations. </w:t>
      </w:r>
      <w:r w:rsidRPr="008900A2">
        <w:rPr>
          <w:i/>
          <w:iCs/>
        </w:rPr>
        <w:t xml:space="preserve">Psychological </w:t>
      </w:r>
      <w:r w:rsidR="000D13D5" w:rsidRPr="008900A2">
        <w:rPr>
          <w:i/>
          <w:iCs/>
        </w:rPr>
        <w:t>M</w:t>
      </w:r>
      <w:r w:rsidRPr="008900A2">
        <w:rPr>
          <w:i/>
          <w:iCs/>
        </w:rPr>
        <w:t>ethods</w:t>
      </w:r>
      <w:r w:rsidRPr="008900A2">
        <w:t>, </w:t>
      </w:r>
      <w:r w:rsidRPr="008900A2">
        <w:rPr>
          <w:i/>
          <w:iCs/>
        </w:rPr>
        <w:t>7</w:t>
      </w:r>
      <w:r w:rsidRPr="008900A2">
        <w:t>(4), 422</w:t>
      </w:r>
      <w:r w:rsidR="000D13D5" w:rsidRPr="008900A2">
        <w:t>-445</w:t>
      </w:r>
      <w:r w:rsidRPr="008900A2">
        <w:t xml:space="preserve">. </w:t>
      </w:r>
      <w:r w:rsidR="000D13D5" w:rsidRPr="008900A2">
        <w:t>https://doi.org/</w:t>
      </w:r>
      <w:r w:rsidRPr="008900A2">
        <w:t>10.1037/1082-989X.7.4.422</w:t>
      </w:r>
    </w:p>
    <w:p w14:paraId="2F5B7127" w14:textId="77777777" w:rsidR="00C72722" w:rsidRPr="008900A2" w:rsidRDefault="00C72722" w:rsidP="00C72722">
      <w:pPr>
        <w:pStyle w:val="Bibliography"/>
      </w:pPr>
      <w:proofErr w:type="spellStart"/>
      <w:r w:rsidRPr="008900A2">
        <w:t>Scheim</w:t>
      </w:r>
      <w:proofErr w:type="spellEnd"/>
      <w:r w:rsidRPr="008900A2">
        <w:t xml:space="preserve">, A., Bauer, G., &amp; </w:t>
      </w:r>
      <w:proofErr w:type="spellStart"/>
      <w:r w:rsidRPr="008900A2">
        <w:t>Pyne</w:t>
      </w:r>
      <w:proofErr w:type="spellEnd"/>
      <w:r w:rsidRPr="008900A2">
        <w:t xml:space="preserve">, J. (2014). Avoidance of public spaces by trans Ontarians: The impact of transphobia on daily life. </w:t>
      </w:r>
      <w:r w:rsidRPr="008900A2">
        <w:rPr>
          <w:i/>
          <w:iCs/>
        </w:rPr>
        <w:t>Trans PULSE E-Bulletin</w:t>
      </w:r>
      <w:r w:rsidRPr="008900A2">
        <w:t xml:space="preserve">, </w:t>
      </w:r>
      <w:r w:rsidRPr="008900A2">
        <w:rPr>
          <w:i/>
          <w:iCs/>
        </w:rPr>
        <w:t>4</w:t>
      </w:r>
      <w:r w:rsidRPr="008900A2">
        <w:t>(1).</w:t>
      </w:r>
    </w:p>
    <w:p w14:paraId="6210A621" w14:textId="2E4893C4" w:rsidR="00C72722" w:rsidRPr="008900A2" w:rsidRDefault="00C72722" w:rsidP="00C72722">
      <w:pPr>
        <w:pStyle w:val="Bibliography"/>
      </w:pPr>
      <w:r w:rsidRPr="008900A2">
        <w:t xml:space="preserve">Singh, J. S., Capozzoli, M. C., Dodd, M. D., &amp; Hope, D. A. (2015). The </w:t>
      </w:r>
      <w:r w:rsidR="00025589" w:rsidRPr="008900A2">
        <w:t>effects</w:t>
      </w:r>
      <w:r w:rsidRPr="008900A2">
        <w:t xml:space="preserve"> of </w:t>
      </w:r>
      <w:r w:rsidR="00025589" w:rsidRPr="008900A2">
        <w:t>social anxiety</w:t>
      </w:r>
      <w:r w:rsidRPr="008900A2">
        <w:t xml:space="preserve"> and </w:t>
      </w:r>
      <w:r w:rsidR="00025589" w:rsidRPr="008900A2">
        <w:t>state anxiety</w:t>
      </w:r>
      <w:r w:rsidRPr="008900A2">
        <w:t xml:space="preserve"> on </w:t>
      </w:r>
      <w:r w:rsidR="00025589" w:rsidRPr="008900A2">
        <w:t>visual atten</w:t>
      </w:r>
      <w:r w:rsidRPr="008900A2">
        <w:t xml:space="preserve">tion: Testing the </w:t>
      </w:r>
      <w:r w:rsidR="00025589" w:rsidRPr="008900A2">
        <w:t>vigilance–avoidance hypothesis</w:t>
      </w:r>
      <w:r w:rsidRPr="008900A2">
        <w:t xml:space="preserve">. </w:t>
      </w:r>
      <w:r w:rsidRPr="008900A2">
        <w:rPr>
          <w:i/>
          <w:iCs/>
        </w:rPr>
        <w:t xml:space="preserve">Cognitive </w:t>
      </w:r>
      <w:proofErr w:type="spellStart"/>
      <w:r w:rsidRPr="008900A2">
        <w:rPr>
          <w:i/>
          <w:iCs/>
        </w:rPr>
        <w:t>Behaviour</w:t>
      </w:r>
      <w:proofErr w:type="spellEnd"/>
      <w:r w:rsidRPr="008900A2">
        <w:rPr>
          <w:i/>
          <w:iCs/>
        </w:rPr>
        <w:t xml:space="preserve"> Therapy</w:t>
      </w:r>
      <w:r w:rsidRPr="008900A2">
        <w:t xml:space="preserve">, </w:t>
      </w:r>
      <w:r w:rsidRPr="008900A2">
        <w:rPr>
          <w:i/>
          <w:iCs/>
        </w:rPr>
        <w:t>44</w:t>
      </w:r>
      <w:r w:rsidRPr="008900A2">
        <w:t>(5), 377–388. https://doi.org/10.1080/16506073.2015.1016447</w:t>
      </w:r>
    </w:p>
    <w:p w14:paraId="33C22C56" w14:textId="2E66413D" w:rsidR="00C72722" w:rsidRPr="008900A2" w:rsidRDefault="00C72722" w:rsidP="00C72722">
      <w:pPr>
        <w:pStyle w:val="Bibliography"/>
      </w:pPr>
      <w:r w:rsidRPr="008900A2">
        <w:t xml:space="preserve">Spitzer, R. L., Kroenke, K., Williams, J. B. W., &amp; Löwe, B. (2006). A </w:t>
      </w:r>
      <w:r w:rsidR="00025589" w:rsidRPr="008900A2">
        <w:t>brief measure</w:t>
      </w:r>
      <w:r w:rsidRPr="008900A2">
        <w:t xml:space="preserve"> for </w:t>
      </w:r>
      <w:r w:rsidR="00025589" w:rsidRPr="008900A2">
        <w:t>assessing generalized anxiety dis</w:t>
      </w:r>
      <w:r w:rsidRPr="008900A2">
        <w:t xml:space="preserve">order: The GAD-7. </w:t>
      </w:r>
      <w:r w:rsidRPr="008900A2">
        <w:rPr>
          <w:i/>
          <w:iCs/>
        </w:rPr>
        <w:t>Archives of Internal Medicine</w:t>
      </w:r>
      <w:r w:rsidRPr="008900A2">
        <w:t xml:space="preserve">, </w:t>
      </w:r>
      <w:r w:rsidRPr="008900A2">
        <w:rPr>
          <w:i/>
          <w:iCs/>
        </w:rPr>
        <w:t>166</w:t>
      </w:r>
      <w:r w:rsidRPr="008900A2">
        <w:t>(10), 1092–1097. https://doi.org/10.1001/archinte.166.10.1092</w:t>
      </w:r>
    </w:p>
    <w:p w14:paraId="3B2BABBF" w14:textId="1507FF1D" w:rsidR="00C72722" w:rsidRPr="008900A2" w:rsidRDefault="00C72722" w:rsidP="00C72722">
      <w:pPr>
        <w:spacing w:line="480" w:lineRule="auto"/>
        <w:ind w:left="720" w:hanging="720"/>
      </w:pPr>
      <w:r w:rsidRPr="008900A2">
        <w:t>Eric Swank , David M. Frost &amp; Breanne Fahs (2012) Rural location and exposure to minority stress among sexual minorities in the United States</w:t>
      </w:r>
      <w:r w:rsidR="00025589" w:rsidRPr="008900A2">
        <w:t>.</w:t>
      </w:r>
      <w:r w:rsidRPr="008900A2">
        <w:t xml:space="preserve"> </w:t>
      </w:r>
      <w:r w:rsidRPr="008900A2">
        <w:rPr>
          <w:i/>
        </w:rPr>
        <w:t>Psychology &amp; Sexuality</w:t>
      </w:r>
      <w:r w:rsidRPr="008900A2">
        <w:t xml:space="preserve">, </w:t>
      </w:r>
      <w:r w:rsidRPr="008900A2">
        <w:rPr>
          <w:i/>
        </w:rPr>
        <w:t>3</w:t>
      </w:r>
      <w:r w:rsidR="00025589" w:rsidRPr="008900A2">
        <w:t>(</w:t>
      </w:r>
      <w:r w:rsidRPr="008900A2">
        <w:t>3</w:t>
      </w:r>
      <w:r w:rsidR="00025589" w:rsidRPr="008900A2">
        <w:t>)</w:t>
      </w:r>
      <w:r w:rsidRPr="008900A2">
        <w:t>, 226-243</w:t>
      </w:r>
      <w:r w:rsidR="00025589" w:rsidRPr="008900A2">
        <w:t>. https://doi.org/</w:t>
      </w:r>
      <w:r w:rsidRPr="008900A2">
        <w:t>10.1080/19419899.2012.700026</w:t>
      </w:r>
    </w:p>
    <w:p w14:paraId="15688353" w14:textId="77777777" w:rsidR="00C72722" w:rsidRPr="008900A2" w:rsidRDefault="00C72722" w:rsidP="00C72722">
      <w:pPr>
        <w:pStyle w:val="Bibliography"/>
      </w:pPr>
      <w:r w:rsidRPr="008900A2">
        <w:t xml:space="preserve">Takano, K., &amp; Tanno, Y. (2009). Self-rumination, self-reflection, and depression: Self-rumination counteracts the adaptive effect of self-reflection. </w:t>
      </w:r>
      <w:proofErr w:type="spellStart"/>
      <w:r w:rsidRPr="008900A2">
        <w:rPr>
          <w:i/>
          <w:iCs/>
        </w:rPr>
        <w:t>Behaviour</w:t>
      </w:r>
      <w:proofErr w:type="spellEnd"/>
      <w:r w:rsidRPr="008900A2">
        <w:rPr>
          <w:i/>
          <w:iCs/>
        </w:rPr>
        <w:t xml:space="preserve"> Research and Therapy</w:t>
      </w:r>
      <w:r w:rsidRPr="008900A2">
        <w:t xml:space="preserve">, </w:t>
      </w:r>
      <w:r w:rsidRPr="008900A2">
        <w:rPr>
          <w:i/>
          <w:iCs/>
        </w:rPr>
        <w:t>47</w:t>
      </w:r>
      <w:r w:rsidRPr="008900A2">
        <w:t>(3), 260–264. https://doi.org/10.1016/j.brat.2008.12.008</w:t>
      </w:r>
    </w:p>
    <w:p w14:paraId="6582BED2" w14:textId="77777777" w:rsidR="00C72722" w:rsidRPr="008900A2" w:rsidRDefault="00C72722" w:rsidP="00C72722">
      <w:pPr>
        <w:pStyle w:val="Bibliography"/>
      </w:pPr>
      <w:r w:rsidRPr="008900A2">
        <w:t xml:space="preserve">Taylor, S. (2014). </w:t>
      </w:r>
      <w:r w:rsidRPr="008900A2">
        <w:rPr>
          <w:i/>
          <w:iCs/>
        </w:rPr>
        <w:t>Anxiety sensitivity: Theory, research, and treatment of the fear of anxiety</w:t>
      </w:r>
      <w:r w:rsidRPr="008900A2">
        <w:t>. Routledge.</w:t>
      </w:r>
    </w:p>
    <w:p w14:paraId="4022B673" w14:textId="77777777" w:rsidR="00025589" w:rsidRPr="008900A2" w:rsidRDefault="00C72722" w:rsidP="00C72722">
      <w:pPr>
        <w:pStyle w:val="Bibliography"/>
      </w:pPr>
      <w:r w:rsidRPr="008900A2">
        <w:t>Tebbe, E. A., &amp; Moradi, B. (2016). Suicide risk in trans populations: An application of minority stress theory. </w:t>
      </w:r>
      <w:r w:rsidRPr="008900A2">
        <w:rPr>
          <w:i/>
          <w:iCs/>
        </w:rPr>
        <w:t>Journal of Counseling Psychology</w:t>
      </w:r>
      <w:r w:rsidRPr="008900A2">
        <w:t>, </w:t>
      </w:r>
      <w:r w:rsidRPr="008900A2">
        <w:rPr>
          <w:i/>
          <w:iCs/>
        </w:rPr>
        <w:t>63</w:t>
      </w:r>
      <w:r w:rsidRPr="008900A2">
        <w:t>(5), 520.</w:t>
      </w:r>
    </w:p>
    <w:p w14:paraId="63DF7CEA" w14:textId="77777777" w:rsidR="00C72722" w:rsidRPr="008900A2" w:rsidRDefault="00C72722" w:rsidP="00C72722">
      <w:pPr>
        <w:pStyle w:val="Bibliography"/>
      </w:pPr>
      <w:r w:rsidRPr="008900A2">
        <w:t xml:space="preserve">Testa, R. J., </w:t>
      </w:r>
      <w:proofErr w:type="spellStart"/>
      <w:r w:rsidRPr="008900A2">
        <w:t>Habarth</w:t>
      </w:r>
      <w:proofErr w:type="spellEnd"/>
      <w:r w:rsidRPr="008900A2">
        <w:t xml:space="preserve">, J., Peta, J., Balsam, K., &amp; Bockting, W. (2015). Development of the Gender Minority Stress and Resilience Measure. </w:t>
      </w:r>
      <w:r w:rsidRPr="008900A2">
        <w:rPr>
          <w:i/>
          <w:iCs/>
        </w:rPr>
        <w:t>Psychology of Sexual Orientation and Gender Diversity</w:t>
      </w:r>
      <w:r w:rsidRPr="008900A2">
        <w:t xml:space="preserve">, </w:t>
      </w:r>
      <w:r w:rsidRPr="008900A2">
        <w:rPr>
          <w:i/>
          <w:iCs/>
        </w:rPr>
        <w:t>2</w:t>
      </w:r>
      <w:r w:rsidRPr="008900A2">
        <w:t>(1), 65–77. https://doi.org/10.1037/sgd0000081</w:t>
      </w:r>
    </w:p>
    <w:p w14:paraId="0FC81C2A" w14:textId="77777777" w:rsidR="00C72722" w:rsidRPr="008900A2" w:rsidRDefault="00C72722" w:rsidP="00C72722">
      <w:pPr>
        <w:pStyle w:val="Bibliography"/>
      </w:pPr>
      <w:r w:rsidRPr="008900A2">
        <w:t xml:space="preserve">Testa, R. J., Michaels, M. S., Bliss, W., Rogers, M. L., Balsam, K. F., &amp; Joiner, T. (2017). Suicidal ideation in transgender people: Gender minority stress and interpersonal theory factors. </w:t>
      </w:r>
      <w:r w:rsidRPr="008900A2">
        <w:rPr>
          <w:i/>
          <w:iCs/>
        </w:rPr>
        <w:t>Journal of Abnormal Psychology</w:t>
      </w:r>
      <w:r w:rsidRPr="008900A2">
        <w:t xml:space="preserve">, </w:t>
      </w:r>
      <w:r w:rsidR="00025589" w:rsidRPr="008900A2">
        <w:rPr>
          <w:i/>
          <w:iCs/>
        </w:rPr>
        <w:t>126</w:t>
      </w:r>
      <w:r w:rsidR="00025589" w:rsidRPr="008900A2">
        <w:t>(1),</w:t>
      </w:r>
      <w:r w:rsidRPr="008900A2">
        <w:t xml:space="preserve"> 125–136. https://doi.org/10.1037/abn0000234</w:t>
      </w:r>
    </w:p>
    <w:p w14:paraId="0AED341A" w14:textId="77777777" w:rsidR="00C72722" w:rsidRPr="008900A2" w:rsidRDefault="00C72722" w:rsidP="00C72722">
      <w:pPr>
        <w:pStyle w:val="Bibliography"/>
      </w:pPr>
      <w:r w:rsidRPr="008900A2">
        <w:t xml:space="preserve">Testa, R. J., Sciacca, L. M., Wang, F., Hendricks, M. L., Goldblum, P., Bradford, J., &amp; Bongar, B. (2012). Effects of violence on transgender people. </w:t>
      </w:r>
      <w:r w:rsidRPr="008900A2">
        <w:rPr>
          <w:i/>
          <w:iCs/>
        </w:rPr>
        <w:t>Professional Psychology: Research and Practice</w:t>
      </w:r>
      <w:r w:rsidRPr="008900A2">
        <w:t xml:space="preserve">, </w:t>
      </w:r>
      <w:r w:rsidRPr="008900A2">
        <w:rPr>
          <w:i/>
          <w:iCs/>
        </w:rPr>
        <w:t>43</w:t>
      </w:r>
      <w:r w:rsidRPr="008900A2">
        <w:t>(5), 452–459. https://doi.org/10.1037/a0029604</w:t>
      </w:r>
    </w:p>
    <w:p w14:paraId="48F48FCE" w14:textId="77777777" w:rsidR="00C72722" w:rsidRPr="008900A2" w:rsidRDefault="00C72722" w:rsidP="00C72722">
      <w:pPr>
        <w:spacing w:line="480" w:lineRule="auto"/>
        <w:ind w:left="1440" w:hanging="1440"/>
      </w:pPr>
      <w:r w:rsidRPr="008900A2">
        <w:t xml:space="preserve">Tucker, R. P., Testa, R. J., </w:t>
      </w:r>
      <w:proofErr w:type="spellStart"/>
      <w:r w:rsidRPr="008900A2">
        <w:t>Reger</w:t>
      </w:r>
      <w:proofErr w:type="spellEnd"/>
      <w:r w:rsidRPr="008900A2">
        <w:t xml:space="preserve">, M. A., Simpson, T. L., </w:t>
      </w:r>
      <w:proofErr w:type="spellStart"/>
      <w:r w:rsidRPr="008900A2">
        <w:t>Shipherd</w:t>
      </w:r>
      <w:proofErr w:type="spellEnd"/>
      <w:r w:rsidRPr="008900A2">
        <w:t xml:space="preserve">, J. C., &amp; </w:t>
      </w:r>
      <w:proofErr w:type="spellStart"/>
      <w:r w:rsidRPr="008900A2">
        <w:t>Lehavot</w:t>
      </w:r>
      <w:proofErr w:type="spellEnd"/>
      <w:r w:rsidRPr="008900A2">
        <w:t>, K. (2019).</w:t>
      </w:r>
      <w:r w:rsidR="00025589" w:rsidRPr="008900A2">
        <w:t xml:space="preserve"> </w:t>
      </w:r>
      <w:r w:rsidRPr="008900A2">
        <w:t>Current and military‐specific gender minority stress factors and their relationship with suicide ideation in transgender veterans. </w:t>
      </w:r>
      <w:r w:rsidRPr="008900A2">
        <w:rPr>
          <w:i/>
          <w:iCs/>
        </w:rPr>
        <w:t>Suicide and Life‐Threatening Behavior</w:t>
      </w:r>
      <w:r w:rsidRPr="008900A2">
        <w:t>, </w:t>
      </w:r>
      <w:r w:rsidRPr="008900A2">
        <w:rPr>
          <w:i/>
          <w:iCs/>
        </w:rPr>
        <w:t>49</w:t>
      </w:r>
      <w:r w:rsidRPr="008900A2">
        <w:t>(1), 155-166.</w:t>
      </w:r>
      <w:r w:rsidRPr="008900A2">
        <w:rPr>
          <w:rFonts w:eastAsia="Times New Roman"/>
          <w:bCs w:val="0"/>
          <w:color w:val="767676"/>
          <w:shd w:val="clear" w:color="auto" w:fill="FFFFFF"/>
        </w:rPr>
        <w:t xml:space="preserve"> </w:t>
      </w:r>
      <w:r w:rsidRPr="008900A2">
        <w:rPr>
          <w:rStyle w:val="Hyperlink"/>
          <w:color w:val="auto"/>
          <w:u w:val="none"/>
        </w:rPr>
        <w:t>https://doi.org/10.1111/sltb.12432</w:t>
      </w:r>
    </w:p>
    <w:p w14:paraId="693D9AD0" w14:textId="77777777" w:rsidR="00C72722" w:rsidRPr="008900A2" w:rsidRDefault="00C72722" w:rsidP="00C72722">
      <w:pPr>
        <w:spacing w:line="480" w:lineRule="auto"/>
        <w:ind w:left="720" w:hanging="720"/>
      </w:pPr>
      <w:r w:rsidRPr="008900A2">
        <w:t xml:space="preserve">U.S. Census Bureau (2010). </w:t>
      </w:r>
      <w:r w:rsidRPr="008900A2">
        <w:rPr>
          <w:i/>
        </w:rPr>
        <w:t>Defining Rural at the U.S. Census Bureau</w:t>
      </w:r>
      <w:r w:rsidRPr="008900A2">
        <w:rPr>
          <w:i/>
          <w:iCs/>
        </w:rPr>
        <w:t>.</w:t>
      </w:r>
      <w:r w:rsidRPr="008900A2">
        <w:t xml:space="preserve"> Retrieved from </w:t>
      </w:r>
      <w:r w:rsidRPr="008900A2">
        <w:rPr>
          <w:u w:val="single"/>
        </w:rPr>
        <w:t>https://www2.census.gov/geo/pdfs/reference/ua/Defining_Rural.pdf</w:t>
      </w:r>
      <w:r w:rsidRPr="008900A2">
        <w:t>.</w:t>
      </w:r>
    </w:p>
    <w:p w14:paraId="7B691A9D" w14:textId="0588194C" w:rsidR="00C72722" w:rsidRPr="00B52858" w:rsidRDefault="00C72722" w:rsidP="00C72722">
      <w:pPr>
        <w:pStyle w:val="Bibliography"/>
      </w:pPr>
      <w:r w:rsidRPr="008900A2">
        <w:t xml:space="preserve">Valdiserri, R. O., Holtgrave, D. R., Poteat, T. C., &amp; Beyrer, C. (2018). </w:t>
      </w:r>
      <w:r w:rsidR="00025589" w:rsidRPr="008900A2">
        <w:t>unraveling health disparities among sexual</w:t>
      </w:r>
      <w:r w:rsidRPr="008900A2">
        <w:t xml:space="preserve"> and </w:t>
      </w:r>
      <w:r w:rsidR="00025589" w:rsidRPr="008900A2">
        <w:t>gender minorities</w:t>
      </w:r>
      <w:r w:rsidRPr="008900A2">
        <w:t xml:space="preserve">: A </w:t>
      </w:r>
      <w:r w:rsidR="00025589" w:rsidRPr="008900A2">
        <w:t>commentary</w:t>
      </w:r>
      <w:r w:rsidRPr="008900A2">
        <w:t xml:space="preserve"> on the </w:t>
      </w:r>
      <w:r w:rsidR="00025589" w:rsidRPr="008900A2">
        <w:t>persistent impact</w:t>
      </w:r>
      <w:r w:rsidRPr="008900A2">
        <w:t xml:space="preserve"> of </w:t>
      </w:r>
      <w:r w:rsidR="00025589" w:rsidRPr="008900A2">
        <w:t>stig</w:t>
      </w:r>
      <w:r w:rsidRPr="008900A2">
        <w:t xml:space="preserve">ma. </w:t>
      </w:r>
      <w:r w:rsidRPr="008900A2">
        <w:rPr>
          <w:i/>
          <w:iCs/>
        </w:rPr>
        <w:t>Journal of Homosexuality</w:t>
      </w:r>
      <w:r w:rsidRPr="008900A2">
        <w:t>,</w:t>
      </w:r>
      <w:r w:rsidRPr="008900A2">
        <w:rPr>
          <w:rFonts w:ascii="Arial" w:hAnsi="Arial"/>
          <w:i/>
          <w:color w:val="222222"/>
          <w:sz w:val="20"/>
          <w:shd w:val="clear" w:color="auto" w:fill="FFFFFF"/>
        </w:rPr>
        <w:t xml:space="preserve"> </w:t>
      </w:r>
      <w:r w:rsidR="00025589" w:rsidRPr="008900A2">
        <w:rPr>
          <w:i/>
          <w:iCs/>
        </w:rPr>
        <w:t>66</w:t>
      </w:r>
      <w:r w:rsidR="00025589" w:rsidRPr="008900A2">
        <w:t xml:space="preserve">(5), 571-589. </w:t>
      </w:r>
      <w:r w:rsidRPr="008900A2">
        <w:t>https://doi.org/10.1080/00918369.2017.1422944</w:t>
      </w:r>
    </w:p>
    <w:p w14:paraId="0A2EFF4F" w14:textId="77777777" w:rsidR="00C72722" w:rsidRPr="00B52858" w:rsidRDefault="00C72722" w:rsidP="00C72722"/>
    <w:p w14:paraId="4805405B" w14:textId="77777777" w:rsidR="00C72722" w:rsidRPr="00B52858" w:rsidRDefault="00C72722" w:rsidP="00C72722">
      <w:pPr>
        <w:pStyle w:val="ListParagraph"/>
        <w:spacing w:after="0" w:line="240" w:lineRule="auto"/>
        <w:ind w:left="0"/>
      </w:pPr>
    </w:p>
    <w:p w14:paraId="4A6D250F" w14:textId="3278179B" w:rsidR="00D77DDF" w:rsidRPr="00B52858" w:rsidRDefault="00D77DDF" w:rsidP="00C72722">
      <w:pPr>
        <w:spacing w:after="0" w:line="480" w:lineRule="auto"/>
        <w:ind w:firstLine="720"/>
        <w:jc w:val="center"/>
      </w:pPr>
    </w:p>
    <w:sectPr w:rsidR="00D77DDF" w:rsidRPr="00B52858" w:rsidSect="000C13B8">
      <w:headerReference w:type="default" r:id="rId29"/>
      <w:footerReference w:type="default" r:id="rId3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64373D" w14:textId="77777777" w:rsidR="00554D1C" w:rsidRDefault="00554D1C" w:rsidP="00AF1662">
      <w:pPr>
        <w:spacing w:after="0" w:line="240" w:lineRule="auto"/>
      </w:pPr>
      <w:r>
        <w:separator/>
      </w:r>
    </w:p>
  </w:endnote>
  <w:endnote w:type="continuationSeparator" w:id="0">
    <w:p w14:paraId="331BB7E1" w14:textId="77777777" w:rsidR="00554D1C" w:rsidRDefault="00554D1C" w:rsidP="00AF1662">
      <w:pPr>
        <w:spacing w:after="0" w:line="240" w:lineRule="auto"/>
      </w:pPr>
      <w:r>
        <w:continuationSeparator/>
      </w:r>
    </w:p>
  </w:endnote>
  <w:endnote w:type="continuationNotice" w:id="1">
    <w:p w14:paraId="00BFA5FD" w14:textId="77777777" w:rsidR="00554D1C" w:rsidRDefault="00554D1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90BB9" w14:textId="77777777" w:rsidR="00D030E5" w:rsidRDefault="00D030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FD7EFC" w14:textId="77777777" w:rsidR="00554D1C" w:rsidRDefault="00554D1C" w:rsidP="00AF1662">
      <w:pPr>
        <w:spacing w:after="0" w:line="240" w:lineRule="auto"/>
      </w:pPr>
      <w:r>
        <w:separator/>
      </w:r>
    </w:p>
  </w:footnote>
  <w:footnote w:type="continuationSeparator" w:id="0">
    <w:p w14:paraId="6164986D" w14:textId="77777777" w:rsidR="00554D1C" w:rsidRDefault="00554D1C" w:rsidP="00AF1662">
      <w:pPr>
        <w:spacing w:after="0" w:line="240" w:lineRule="auto"/>
      </w:pPr>
      <w:r>
        <w:continuationSeparator/>
      </w:r>
    </w:p>
  </w:footnote>
  <w:footnote w:type="continuationNotice" w:id="1">
    <w:p w14:paraId="72AD8E44" w14:textId="77777777" w:rsidR="00554D1C" w:rsidRDefault="00554D1C">
      <w:pPr>
        <w:spacing w:after="0" w:line="240" w:lineRule="auto"/>
      </w:pPr>
    </w:p>
  </w:footnote>
  <w:footnote w:id="2">
    <w:p w14:paraId="37B70726" w14:textId="25140A6D" w:rsidR="00021872" w:rsidRDefault="00A71983">
      <w:pPr>
        <w:pStyle w:val="FootnoteText"/>
      </w:pPr>
      <w:r w:rsidRPr="00A71983">
        <w:rPr>
          <w:rStyle w:val="FootnoteReference"/>
        </w:rPr>
        <w:t xml:space="preserve"> </w:t>
      </w:r>
      <w:r>
        <w:rPr>
          <w:rStyle w:val="FootnoteReference"/>
        </w:rPr>
        <w:footnoteRef/>
      </w:r>
      <w:r>
        <w:t xml:space="preserve"> Transgender and gender diverse</w:t>
      </w:r>
      <w:r w:rsidRPr="00493C59">
        <w:t xml:space="preserve"> are umbrella terms used to describe individuals whose gender identity or gender expression does not conform to their sex assigned at birth. These individuals may identify as transgender men or transgender women, while others may instead identify as gender nonconforming, non-binary, genderqueer, as man and woman, or as genderfluid </w:t>
      </w:r>
      <w:r>
        <w:fldChar w:fldCharType="begin"/>
      </w:r>
      <w:r>
        <w:instrText xml:space="preserve"> ADDIN ZOTERO_ITEM CSL_CITATION {"citationID":"ZkGiJ34E","properties":{"formattedCitation":"(American Psychological Association, 2015)","plainCitation":"(American Psychological Association, 2015)","noteIndex":1},"citationItems":[{"id":2005,"uris":["http://zotero.org/users/3742053/items/LU5I45VD"],"uri":["http://zotero.org/users/3742053/items/LU5I45VD"],"itemData":{"id":2005,"type":"report","title":"Key Terms and Concepts in Understanding Gender Diversity and Sexual Orientation Among Students: (527502015-001)","publisher":"American Psychological Association","source":"Crossref","URL":"http://doi.apa.org/get-pe-doi.cfm?doi=10.1037/e527502015-001","note":"type: dataset\nDOI: 10.1037/e527502015-001","title-short":"Key Terms and Concepts in Understanding Gender Diversity and Sexual Orientation Among Students","language":"en","author":[{"family":"American Psychological Association","given":""}],"issued":{"date-parts":[["2015"]]},"accessed":{"date-parts":[["2019",2,4]]}}}],"schema":"https://github.com/citation-style-language/schema/raw/master/csl-citation.json"} </w:instrText>
      </w:r>
      <w:r>
        <w:fldChar w:fldCharType="separate"/>
      </w:r>
      <w:r w:rsidRPr="00D2129F">
        <w:t>(American Psychological Association, 2015)</w:t>
      </w:r>
      <w:r>
        <w:fldChar w:fldCharType="end"/>
      </w:r>
      <w:r w:rsidRPr="00493C59">
        <w:t>. Cisgender is used to describe individuals whose sex assigned at birth matches their gender identity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57B6B" w14:textId="4A4FEB13" w:rsidR="00021872" w:rsidRDefault="00021872">
    <w:pPr>
      <w:pStyle w:val="Header"/>
      <w:jc w:val="right"/>
    </w:pPr>
    <w:r>
      <w:t>RUNNING HEAD: MENTAL HEALTH AND TGD MARGINALIZATION STRESS</w:t>
    </w:r>
    <w:r>
      <w:tab/>
    </w:r>
    <w:sdt>
      <w:sdtPr>
        <w:id w:val="1889222673"/>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156BEA">
          <w:rPr>
            <w:noProof/>
          </w:rPr>
          <w:t>34</w:t>
        </w:r>
        <w:r>
          <w:rPr>
            <w:noProof/>
          </w:rPr>
          <w:fldChar w:fldCharType="end"/>
        </w:r>
      </w:sdtContent>
    </w:sdt>
  </w:p>
  <w:p w14:paraId="2FCE20E2" w14:textId="7F903886" w:rsidR="00021872" w:rsidRDefault="000218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D5613E"/>
    <w:multiLevelType w:val="multilevel"/>
    <w:tmpl w:val="C9ECD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1251CE"/>
    <w:multiLevelType w:val="hybridMultilevel"/>
    <w:tmpl w:val="6A98B4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9F7535"/>
    <w:multiLevelType w:val="hybridMultilevel"/>
    <w:tmpl w:val="7BF87B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54A052C"/>
    <w:multiLevelType w:val="multilevel"/>
    <w:tmpl w:val="453A4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3D16F68"/>
    <w:multiLevelType w:val="hybridMultilevel"/>
    <w:tmpl w:val="4DD8EB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B100DE"/>
    <w:multiLevelType w:val="hybridMultilevel"/>
    <w:tmpl w:val="C0089E3E"/>
    <w:lvl w:ilvl="0" w:tplc="BFD83A6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BD5C2E"/>
    <w:multiLevelType w:val="hybridMultilevel"/>
    <w:tmpl w:val="E94ED96A"/>
    <w:lvl w:ilvl="0" w:tplc="A1D261D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210F28"/>
    <w:multiLevelType w:val="hybridMultilevel"/>
    <w:tmpl w:val="4BD460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01727177">
    <w:abstractNumId w:val="1"/>
  </w:num>
  <w:num w:numId="2" w16cid:durableId="1082875291">
    <w:abstractNumId w:val="7"/>
  </w:num>
  <w:num w:numId="3" w16cid:durableId="316153782">
    <w:abstractNumId w:val="4"/>
  </w:num>
  <w:num w:numId="4" w16cid:durableId="400522644">
    <w:abstractNumId w:val="5"/>
  </w:num>
  <w:num w:numId="5" w16cid:durableId="1728452406">
    <w:abstractNumId w:val="6"/>
  </w:num>
  <w:num w:numId="6" w16cid:durableId="1153369710">
    <w:abstractNumId w:val="0"/>
  </w:num>
  <w:num w:numId="7" w16cid:durableId="363294073">
    <w:abstractNumId w:val="3"/>
  </w:num>
  <w:num w:numId="8" w16cid:durableId="14175547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7905"/>
    <w:rsid w:val="0000216C"/>
    <w:rsid w:val="000023FF"/>
    <w:rsid w:val="0000532F"/>
    <w:rsid w:val="00005F9B"/>
    <w:rsid w:val="00007729"/>
    <w:rsid w:val="00010CBD"/>
    <w:rsid w:val="00011F09"/>
    <w:rsid w:val="00012B93"/>
    <w:rsid w:val="0001339F"/>
    <w:rsid w:val="0001519A"/>
    <w:rsid w:val="000153B7"/>
    <w:rsid w:val="000178D7"/>
    <w:rsid w:val="00020D76"/>
    <w:rsid w:val="0002132E"/>
    <w:rsid w:val="00021872"/>
    <w:rsid w:val="000224EA"/>
    <w:rsid w:val="0002254A"/>
    <w:rsid w:val="000243B2"/>
    <w:rsid w:val="00025589"/>
    <w:rsid w:val="00026A76"/>
    <w:rsid w:val="000276F0"/>
    <w:rsid w:val="00031C8E"/>
    <w:rsid w:val="00032BF9"/>
    <w:rsid w:val="00032FC8"/>
    <w:rsid w:val="00034052"/>
    <w:rsid w:val="00034881"/>
    <w:rsid w:val="00036088"/>
    <w:rsid w:val="000443E6"/>
    <w:rsid w:val="00045D5F"/>
    <w:rsid w:val="000464E3"/>
    <w:rsid w:val="000530A5"/>
    <w:rsid w:val="00053E02"/>
    <w:rsid w:val="00054817"/>
    <w:rsid w:val="0005610F"/>
    <w:rsid w:val="00056B76"/>
    <w:rsid w:val="000614B8"/>
    <w:rsid w:val="0006293E"/>
    <w:rsid w:val="00062D59"/>
    <w:rsid w:val="00064910"/>
    <w:rsid w:val="00065C8F"/>
    <w:rsid w:val="00066FAF"/>
    <w:rsid w:val="00067A13"/>
    <w:rsid w:val="000706D0"/>
    <w:rsid w:val="00075D7E"/>
    <w:rsid w:val="00077AD9"/>
    <w:rsid w:val="0008056D"/>
    <w:rsid w:val="00085354"/>
    <w:rsid w:val="00085E79"/>
    <w:rsid w:val="00086D89"/>
    <w:rsid w:val="000876A4"/>
    <w:rsid w:val="000933AA"/>
    <w:rsid w:val="0009425A"/>
    <w:rsid w:val="00094C4D"/>
    <w:rsid w:val="000A003B"/>
    <w:rsid w:val="000A0EEB"/>
    <w:rsid w:val="000A2D47"/>
    <w:rsid w:val="000A3335"/>
    <w:rsid w:val="000A3F07"/>
    <w:rsid w:val="000A3F66"/>
    <w:rsid w:val="000A6BF9"/>
    <w:rsid w:val="000A6E1F"/>
    <w:rsid w:val="000A7026"/>
    <w:rsid w:val="000B1740"/>
    <w:rsid w:val="000B2574"/>
    <w:rsid w:val="000B2CCE"/>
    <w:rsid w:val="000B40C5"/>
    <w:rsid w:val="000C13B8"/>
    <w:rsid w:val="000C261A"/>
    <w:rsid w:val="000C4127"/>
    <w:rsid w:val="000C4B61"/>
    <w:rsid w:val="000D0B11"/>
    <w:rsid w:val="000D13D5"/>
    <w:rsid w:val="000D1841"/>
    <w:rsid w:val="000D23A8"/>
    <w:rsid w:val="000D6C6A"/>
    <w:rsid w:val="000E028D"/>
    <w:rsid w:val="000E38C4"/>
    <w:rsid w:val="000E4176"/>
    <w:rsid w:val="000E4524"/>
    <w:rsid w:val="000E5388"/>
    <w:rsid w:val="000E6D2A"/>
    <w:rsid w:val="000F01C9"/>
    <w:rsid w:val="000F18BB"/>
    <w:rsid w:val="000F2216"/>
    <w:rsid w:val="000F3727"/>
    <w:rsid w:val="000F4095"/>
    <w:rsid w:val="000F43F9"/>
    <w:rsid w:val="000F503A"/>
    <w:rsid w:val="000F66FF"/>
    <w:rsid w:val="001017CA"/>
    <w:rsid w:val="00104431"/>
    <w:rsid w:val="00105E26"/>
    <w:rsid w:val="00106B09"/>
    <w:rsid w:val="001101B8"/>
    <w:rsid w:val="00111289"/>
    <w:rsid w:val="00111E7D"/>
    <w:rsid w:val="00113A70"/>
    <w:rsid w:val="001149E8"/>
    <w:rsid w:val="00114DE2"/>
    <w:rsid w:val="001153AE"/>
    <w:rsid w:val="00115BD3"/>
    <w:rsid w:val="00121EFF"/>
    <w:rsid w:val="001221CF"/>
    <w:rsid w:val="001228D6"/>
    <w:rsid w:val="00122D31"/>
    <w:rsid w:val="001242B8"/>
    <w:rsid w:val="00124AB6"/>
    <w:rsid w:val="00126144"/>
    <w:rsid w:val="00127770"/>
    <w:rsid w:val="0013101D"/>
    <w:rsid w:val="00132738"/>
    <w:rsid w:val="00133F49"/>
    <w:rsid w:val="00134495"/>
    <w:rsid w:val="001378C8"/>
    <w:rsid w:val="00137DC3"/>
    <w:rsid w:val="00140A33"/>
    <w:rsid w:val="00141D7B"/>
    <w:rsid w:val="001459AF"/>
    <w:rsid w:val="0014622E"/>
    <w:rsid w:val="001516EF"/>
    <w:rsid w:val="00151E9A"/>
    <w:rsid w:val="00156BEA"/>
    <w:rsid w:val="00160913"/>
    <w:rsid w:val="001659C6"/>
    <w:rsid w:val="00165C79"/>
    <w:rsid w:val="001731BD"/>
    <w:rsid w:val="0017364E"/>
    <w:rsid w:val="00173F12"/>
    <w:rsid w:val="001803C4"/>
    <w:rsid w:val="00181DED"/>
    <w:rsid w:val="00183937"/>
    <w:rsid w:val="00184D19"/>
    <w:rsid w:val="00185F7B"/>
    <w:rsid w:val="00186795"/>
    <w:rsid w:val="00187892"/>
    <w:rsid w:val="00187A55"/>
    <w:rsid w:val="0019121F"/>
    <w:rsid w:val="001919A2"/>
    <w:rsid w:val="0019367D"/>
    <w:rsid w:val="00194894"/>
    <w:rsid w:val="00194E12"/>
    <w:rsid w:val="001956D0"/>
    <w:rsid w:val="00195F46"/>
    <w:rsid w:val="0019645E"/>
    <w:rsid w:val="001975DC"/>
    <w:rsid w:val="001A1845"/>
    <w:rsid w:val="001A1E73"/>
    <w:rsid w:val="001A21DD"/>
    <w:rsid w:val="001A3760"/>
    <w:rsid w:val="001A4A02"/>
    <w:rsid w:val="001A564A"/>
    <w:rsid w:val="001A6284"/>
    <w:rsid w:val="001B0AD4"/>
    <w:rsid w:val="001B287C"/>
    <w:rsid w:val="001B3165"/>
    <w:rsid w:val="001B3C27"/>
    <w:rsid w:val="001C17C6"/>
    <w:rsid w:val="001C389C"/>
    <w:rsid w:val="001C38AB"/>
    <w:rsid w:val="001C5712"/>
    <w:rsid w:val="001C5E3F"/>
    <w:rsid w:val="001C7BBF"/>
    <w:rsid w:val="001D2F18"/>
    <w:rsid w:val="001D4E96"/>
    <w:rsid w:val="001D513B"/>
    <w:rsid w:val="001D73B7"/>
    <w:rsid w:val="001D78CD"/>
    <w:rsid w:val="001D796D"/>
    <w:rsid w:val="001E04A2"/>
    <w:rsid w:val="001E2677"/>
    <w:rsid w:val="001E4568"/>
    <w:rsid w:val="001E4718"/>
    <w:rsid w:val="001E4778"/>
    <w:rsid w:val="001E477F"/>
    <w:rsid w:val="001E48BF"/>
    <w:rsid w:val="002000EE"/>
    <w:rsid w:val="002003FC"/>
    <w:rsid w:val="002005C1"/>
    <w:rsid w:val="00201313"/>
    <w:rsid w:val="00201A2E"/>
    <w:rsid w:val="002020E8"/>
    <w:rsid w:val="002045EA"/>
    <w:rsid w:val="00206197"/>
    <w:rsid w:val="00207BE8"/>
    <w:rsid w:val="00207C46"/>
    <w:rsid w:val="00211C7E"/>
    <w:rsid w:val="00212208"/>
    <w:rsid w:val="002136DE"/>
    <w:rsid w:val="00214DB7"/>
    <w:rsid w:val="00220C74"/>
    <w:rsid w:val="00220DFB"/>
    <w:rsid w:val="002240DF"/>
    <w:rsid w:val="00226184"/>
    <w:rsid w:val="0023008C"/>
    <w:rsid w:val="00231F3A"/>
    <w:rsid w:val="00232A1B"/>
    <w:rsid w:val="00234BF0"/>
    <w:rsid w:val="00237677"/>
    <w:rsid w:val="00237ECC"/>
    <w:rsid w:val="00241656"/>
    <w:rsid w:val="00241ACF"/>
    <w:rsid w:val="00241DE8"/>
    <w:rsid w:val="002422E1"/>
    <w:rsid w:val="00242990"/>
    <w:rsid w:val="00243122"/>
    <w:rsid w:val="0024485F"/>
    <w:rsid w:val="00245020"/>
    <w:rsid w:val="00246332"/>
    <w:rsid w:val="00246368"/>
    <w:rsid w:val="00246ED8"/>
    <w:rsid w:val="00247B01"/>
    <w:rsid w:val="00251694"/>
    <w:rsid w:val="00253E20"/>
    <w:rsid w:val="0025436B"/>
    <w:rsid w:val="00254FA0"/>
    <w:rsid w:val="0025711E"/>
    <w:rsid w:val="00260A81"/>
    <w:rsid w:val="0026389F"/>
    <w:rsid w:val="00264D6F"/>
    <w:rsid w:val="00265452"/>
    <w:rsid w:val="00265FB4"/>
    <w:rsid w:val="00270171"/>
    <w:rsid w:val="00270B4C"/>
    <w:rsid w:val="00270D21"/>
    <w:rsid w:val="0027170D"/>
    <w:rsid w:val="00274669"/>
    <w:rsid w:val="0027499A"/>
    <w:rsid w:val="00275687"/>
    <w:rsid w:val="00277586"/>
    <w:rsid w:val="002816D8"/>
    <w:rsid w:val="002822BC"/>
    <w:rsid w:val="002829DF"/>
    <w:rsid w:val="00282E04"/>
    <w:rsid w:val="00284E83"/>
    <w:rsid w:val="002854EF"/>
    <w:rsid w:val="00285BBD"/>
    <w:rsid w:val="00286A74"/>
    <w:rsid w:val="0029101E"/>
    <w:rsid w:val="00291AC5"/>
    <w:rsid w:val="00292D27"/>
    <w:rsid w:val="00293163"/>
    <w:rsid w:val="00293584"/>
    <w:rsid w:val="0029454C"/>
    <w:rsid w:val="00295983"/>
    <w:rsid w:val="00295E60"/>
    <w:rsid w:val="002A01BC"/>
    <w:rsid w:val="002A1229"/>
    <w:rsid w:val="002A195D"/>
    <w:rsid w:val="002A2ABA"/>
    <w:rsid w:val="002A35C8"/>
    <w:rsid w:val="002A36DD"/>
    <w:rsid w:val="002A4312"/>
    <w:rsid w:val="002A552B"/>
    <w:rsid w:val="002B04C5"/>
    <w:rsid w:val="002B10DF"/>
    <w:rsid w:val="002B1C9D"/>
    <w:rsid w:val="002B45EB"/>
    <w:rsid w:val="002B78EA"/>
    <w:rsid w:val="002C0577"/>
    <w:rsid w:val="002C2065"/>
    <w:rsid w:val="002C29D4"/>
    <w:rsid w:val="002C2EED"/>
    <w:rsid w:val="002C33CF"/>
    <w:rsid w:val="002C428F"/>
    <w:rsid w:val="002C4418"/>
    <w:rsid w:val="002C44D4"/>
    <w:rsid w:val="002C4C43"/>
    <w:rsid w:val="002C4D4A"/>
    <w:rsid w:val="002C6065"/>
    <w:rsid w:val="002C6535"/>
    <w:rsid w:val="002C7640"/>
    <w:rsid w:val="002D03E1"/>
    <w:rsid w:val="002D0CF5"/>
    <w:rsid w:val="002D0FFB"/>
    <w:rsid w:val="002D31A2"/>
    <w:rsid w:val="002D35B9"/>
    <w:rsid w:val="002D464D"/>
    <w:rsid w:val="002D681E"/>
    <w:rsid w:val="002D7124"/>
    <w:rsid w:val="002E10DA"/>
    <w:rsid w:val="002E1695"/>
    <w:rsid w:val="002E3017"/>
    <w:rsid w:val="002E4F46"/>
    <w:rsid w:val="002E55D2"/>
    <w:rsid w:val="002E6F34"/>
    <w:rsid w:val="002E7FAD"/>
    <w:rsid w:val="002F4B67"/>
    <w:rsid w:val="002F4F04"/>
    <w:rsid w:val="002F79E4"/>
    <w:rsid w:val="0030361B"/>
    <w:rsid w:val="00307267"/>
    <w:rsid w:val="003074F5"/>
    <w:rsid w:val="003078F0"/>
    <w:rsid w:val="0031187D"/>
    <w:rsid w:val="00311A13"/>
    <w:rsid w:val="003124E3"/>
    <w:rsid w:val="00313041"/>
    <w:rsid w:val="003141D3"/>
    <w:rsid w:val="00314F7B"/>
    <w:rsid w:val="00315710"/>
    <w:rsid w:val="00316B3F"/>
    <w:rsid w:val="00317350"/>
    <w:rsid w:val="003176DC"/>
    <w:rsid w:val="00321597"/>
    <w:rsid w:val="00321A9D"/>
    <w:rsid w:val="00323488"/>
    <w:rsid w:val="00323609"/>
    <w:rsid w:val="003320BB"/>
    <w:rsid w:val="003327F8"/>
    <w:rsid w:val="00336822"/>
    <w:rsid w:val="003407E5"/>
    <w:rsid w:val="003409B7"/>
    <w:rsid w:val="00340C6E"/>
    <w:rsid w:val="0034583A"/>
    <w:rsid w:val="003465B3"/>
    <w:rsid w:val="00346F0A"/>
    <w:rsid w:val="003477F7"/>
    <w:rsid w:val="003478F3"/>
    <w:rsid w:val="003515DA"/>
    <w:rsid w:val="00352DCE"/>
    <w:rsid w:val="00353805"/>
    <w:rsid w:val="00353EC9"/>
    <w:rsid w:val="00354EF8"/>
    <w:rsid w:val="00355565"/>
    <w:rsid w:val="00356423"/>
    <w:rsid w:val="00360E68"/>
    <w:rsid w:val="00360E69"/>
    <w:rsid w:val="003613E3"/>
    <w:rsid w:val="00362F2E"/>
    <w:rsid w:val="00363ED3"/>
    <w:rsid w:val="00363FD3"/>
    <w:rsid w:val="0036468C"/>
    <w:rsid w:val="003716AE"/>
    <w:rsid w:val="00371CD8"/>
    <w:rsid w:val="00372F88"/>
    <w:rsid w:val="00372FB6"/>
    <w:rsid w:val="00373A9B"/>
    <w:rsid w:val="00374B4F"/>
    <w:rsid w:val="00374BAF"/>
    <w:rsid w:val="003769FC"/>
    <w:rsid w:val="00381B8E"/>
    <w:rsid w:val="003826FC"/>
    <w:rsid w:val="0038272D"/>
    <w:rsid w:val="00383DD5"/>
    <w:rsid w:val="00384996"/>
    <w:rsid w:val="00385791"/>
    <w:rsid w:val="00387A0D"/>
    <w:rsid w:val="0039125F"/>
    <w:rsid w:val="00391754"/>
    <w:rsid w:val="0039203A"/>
    <w:rsid w:val="00393C05"/>
    <w:rsid w:val="00395312"/>
    <w:rsid w:val="003974B7"/>
    <w:rsid w:val="003A02B8"/>
    <w:rsid w:val="003A76C7"/>
    <w:rsid w:val="003B09A3"/>
    <w:rsid w:val="003C08DA"/>
    <w:rsid w:val="003C281E"/>
    <w:rsid w:val="003C3AE1"/>
    <w:rsid w:val="003C414A"/>
    <w:rsid w:val="003C43C5"/>
    <w:rsid w:val="003C4828"/>
    <w:rsid w:val="003C4FEB"/>
    <w:rsid w:val="003D1918"/>
    <w:rsid w:val="003D1BE2"/>
    <w:rsid w:val="003D1D82"/>
    <w:rsid w:val="003D33B2"/>
    <w:rsid w:val="003D3B1E"/>
    <w:rsid w:val="003D4180"/>
    <w:rsid w:val="003D5A72"/>
    <w:rsid w:val="003D6019"/>
    <w:rsid w:val="003D753C"/>
    <w:rsid w:val="003E08E7"/>
    <w:rsid w:val="003E0E01"/>
    <w:rsid w:val="003E20D2"/>
    <w:rsid w:val="003E2372"/>
    <w:rsid w:val="003E3E5D"/>
    <w:rsid w:val="003E4823"/>
    <w:rsid w:val="003E4DD9"/>
    <w:rsid w:val="003E58A7"/>
    <w:rsid w:val="003E6137"/>
    <w:rsid w:val="003E7B70"/>
    <w:rsid w:val="003F09B5"/>
    <w:rsid w:val="003F0A96"/>
    <w:rsid w:val="003F261F"/>
    <w:rsid w:val="003F30FE"/>
    <w:rsid w:val="003F3B80"/>
    <w:rsid w:val="003F50DB"/>
    <w:rsid w:val="003F67E6"/>
    <w:rsid w:val="003F76CC"/>
    <w:rsid w:val="004017A7"/>
    <w:rsid w:val="00401854"/>
    <w:rsid w:val="00401D78"/>
    <w:rsid w:val="004027A8"/>
    <w:rsid w:val="004035B8"/>
    <w:rsid w:val="004063CB"/>
    <w:rsid w:val="00407924"/>
    <w:rsid w:val="00412814"/>
    <w:rsid w:val="004129D6"/>
    <w:rsid w:val="00412AD3"/>
    <w:rsid w:val="00412CAC"/>
    <w:rsid w:val="00413B8F"/>
    <w:rsid w:val="0041523D"/>
    <w:rsid w:val="004152EB"/>
    <w:rsid w:val="0041604D"/>
    <w:rsid w:val="004163FC"/>
    <w:rsid w:val="004175D1"/>
    <w:rsid w:val="00420340"/>
    <w:rsid w:val="004206F8"/>
    <w:rsid w:val="004222E8"/>
    <w:rsid w:val="00424EFF"/>
    <w:rsid w:val="00425CE9"/>
    <w:rsid w:val="00426AD3"/>
    <w:rsid w:val="00426C25"/>
    <w:rsid w:val="00433764"/>
    <w:rsid w:val="0044076B"/>
    <w:rsid w:val="00444EB6"/>
    <w:rsid w:val="00445098"/>
    <w:rsid w:val="00450451"/>
    <w:rsid w:val="0045154F"/>
    <w:rsid w:val="00451C39"/>
    <w:rsid w:val="00453ED5"/>
    <w:rsid w:val="004543F7"/>
    <w:rsid w:val="0045684F"/>
    <w:rsid w:val="004571D4"/>
    <w:rsid w:val="00460518"/>
    <w:rsid w:val="00463273"/>
    <w:rsid w:val="00464701"/>
    <w:rsid w:val="00466F1A"/>
    <w:rsid w:val="004673B3"/>
    <w:rsid w:val="0047023B"/>
    <w:rsid w:val="00470B15"/>
    <w:rsid w:val="00472BBE"/>
    <w:rsid w:val="00472EB2"/>
    <w:rsid w:val="004730D0"/>
    <w:rsid w:val="004733DF"/>
    <w:rsid w:val="00474D48"/>
    <w:rsid w:val="00474EFF"/>
    <w:rsid w:val="004754F6"/>
    <w:rsid w:val="0047565C"/>
    <w:rsid w:val="00481D46"/>
    <w:rsid w:val="00482FAF"/>
    <w:rsid w:val="004835C5"/>
    <w:rsid w:val="004836BE"/>
    <w:rsid w:val="00487941"/>
    <w:rsid w:val="00490F83"/>
    <w:rsid w:val="00490FB9"/>
    <w:rsid w:val="00490FC5"/>
    <w:rsid w:val="00491868"/>
    <w:rsid w:val="00493C59"/>
    <w:rsid w:val="00496F85"/>
    <w:rsid w:val="004A26B0"/>
    <w:rsid w:val="004A3C58"/>
    <w:rsid w:val="004A656F"/>
    <w:rsid w:val="004A71A2"/>
    <w:rsid w:val="004B05A8"/>
    <w:rsid w:val="004B3A94"/>
    <w:rsid w:val="004B3BD2"/>
    <w:rsid w:val="004B69B6"/>
    <w:rsid w:val="004B76C5"/>
    <w:rsid w:val="004B76D7"/>
    <w:rsid w:val="004C0540"/>
    <w:rsid w:val="004C2955"/>
    <w:rsid w:val="004C3019"/>
    <w:rsid w:val="004C3652"/>
    <w:rsid w:val="004C67EC"/>
    <w:rsid w:val="004C7944"/>
    <w:rsid w:val="004D06E9"/>
    <w:rsid w:val="004D3805"/>
    <w:rsid w:val="004D3A51"/>
    <w:rsid w:val="004D3B39"/>
    <w:rsid w:val="004D3D62"/>
    <w:rsid w:val="004D535D"/>
    <w:rsid w:val="004D6B2E"/>
    <w:rsid w:val="004E0F35"/>
    <w:rsid w:val="004E3F97"/>
    <w:rsid w:val="004E4BA5"/>
    <w:rsid w:val="004E691D"/>
    <w:rsid w:val="004E7FD3"/>
    <w:rsid w:val="004F0A47"/>
    <w:rsid w:val="004F23E8"/>
    <w:rsid w:val="004F4DE8"/>
    <w:rsid w:val="004F7232"/>
    <w:rsid w:val="00501014"/>
    <w:rsid w:val="0050281C"/>
    <w:rsid w:val="00503D60"/>
    <w:rsid w:val="005041CD"/>
    <w:rsid w:val="00504B58"/>
    <w:rsid w:val="00505357"/>
    <w:rsid w:val="00505473"/>
    <w:rsid w:val="00507153"/>
    <w:rsid w:val="0051088E"/>
    <w:rsid w:val="00511410"/>
    <w:rsid w:val="0051320B"/>
    <w:rsid w:val="0051414C"/>
    <w:rsid w:val="005143E5"/>
    <w:rsid w:val="00514500"/>
    <w:rsid w:val="0051555D"/>
    <w:rsid w:val="00515954"/>
    <w:rsid w:val="00515F45"/>
    <w:rsid w:val="005171E3"/>
    <w:rsid w:val="005177BF"/>
    <w:rsid w:val="005178C6"/>
    <w:rsid w:val="00523326"/>
    <w:rsid w:val="00523960"/>
    <w:rsid w:val="00523A54"/>
    <w:rsid w:val="00523C78"/>
    <w:rsid w:val="00527580"/>
    <w:rsid w:val="00531801"/>
    <w:rsid w:val="00533469"/>
    <w:rsid w:val="0053423D"/>
    <w:rsid w:val="00534E05"/>
    <w:rsid w:val="00541C82"/>
    <w:rsid w:val="005440FC"/>
    <w:rsid w:val="005457B0"/>
    <w:rsid w:val="00545DE8"/>
    <w:rsid w:val="00545F5F"/>
    <w:rsid w:val="005463F9"/>
    <w:rsid w:val="00546D34"/>
    <w:rsid w:val="00547F39"/>
    <w:rsid w:val="00547FED"/>
    <w:rsid w:val="0055074D"/>
    <w:rsid w:val="005510A2"/>
    <w:rsid w:val="005512F7"/>
    <w:rsid w:val="00551370"/>
    <w:rsid w:val="00551E85"/>
    <w:rsid w:val="00554B6A"/>
    <w:rsid w:val="00554D1C"/>
    <w:rsid w:val="00556C45"/>
    <w:rsid w:val="005573ED"/>
    <w:rsid w:val="00561284"/>
    <w:rsid w:val="00563820"/>
    <w:rsid w:val="00564DB5"/>
    <w:rsid w:val="00564F0B"/>
    <w:rsid w:val="0056621F"/>
    <w:rsid w:val="0056691F"/>
    <w:rsid w:val="0056732B"/>
    <w:rsid w:val="00567D6F"/>
    <w:rsid w:val="0057596F"/>
    <w:rsid w:val="00575FA9"/>
    <w:rsid w:val="00580808"/>
    <w:rsid w:val="00581726"/>
    <w:rsid w:val="00581A75"/>
    <w:rsid w:val="00581E17"/>
    <w:rsid w:val="005822FA"/>
    <w:rsid w:val="005837E4"/>
    <w:rsid w:val="00583FE1"/>
    <w:rsid w:val="005877A8"/>
    <w:rsid w:val="0059085C"/>
    <w:rsid w:val="0059136E"/>
    <w:rsid w:val="005948AB"/>
    <w:rsid w:val="005956F3"/>
    <w:rsid w:val="00595BA8"/>
    <w:rsid w:val="005A0495"/>
    <w:rsid w:val="005A16C2"/>
    <w:rsid w:val="005A2182"/>
    <w:rsid w:val="005A2862"/>
    <w:rsid w:val="005A314E"/>
    <w:rsid w:val="005A43E1"/>
    <w:rsid w:val="005A4E08"/>
    <w:rsid w:val="005A5DDC"/>
    <w:rsid w:val="005A72C1"/>
    <w:rsid w:val="005A72C8"/>
    <w:rsid w:val="005B05EF"/>
    <w:rsid w:val="005B3CE3"/>
    <w:rsid w:val="005B4629"/>
    <w:rsid w:val="005B50A3"/>
    <w:rsid w:val="005B5657"/>
    <w:rsid w:val="005B5DFB"/>
    <w:rsid w:val="005B6096"/>
    <w:rsid w:val="005C124B"/>
    <w:rsid w:val="005C1442"/>
    <w:rsid w:val="005D1A69"/>
    <w:rsid w:val="005D2458"/>
    <w:rsid w:val="005D291D"/>
    <w:rsid w:val="005D295C"/>
    <w:rsid w:val="005D3C85"/>
    <w:rsid w:val="005D5749"/>
    <w:rsid w:val="005D7F54"/>
    <w:rsid w:val="005E1202"/>
    <w:rsid w:val="005E1827"/>
    <w:rsid w:val="005E3873"/>
    <w:rsid w:val="005E472D"/>
    <w:rsid w:val="005E4973"/>
    <w:rsid w:val="005E6EB1"/>
    <w:rsid w:val="005E6FB9"/>
    <w:rsid w:val="005F3918"/>
    <w:rsid w:val="005F5FCF"/>
    <w:rsid w:val="005F61F3"/>
    <w:rsid w:val="005F6869"/>
    <w:rsid w:val="005F762A"/>
    <w:rsid w:val="00602061"/>
    <w:rsid w:val="00602D43"/>
    <w:rsid w:val="0060365E"/>
    <w:rsid w:val="00604B47"/>
    <w:rsid w:val="00605224"/>
    <w:rsid w:val="00605F62"/>
    <w:rsid w:val="00606934"/>
    <w:rsid w:val="00606AAC"/>
    <w:rsid w:val="00606C01"/>
    <w:rsid w:val="00610BF3"/>
    <w:rsid w:val="00611446"/>
    <w:rsid w:val="00611F0B"/>
    <w:rsid w:val="00612870"/>
    <w:rsid w:val="00612B59"/>
    <w:rsid w:val="00612F60"/>
    <w:rsid w:val="00613044"/>
    <w:rsid w:val="0061323B"/>
    <w:rsid w:val="00615E48"/>
    <w:rsid w:val="00617222"/>
    <w:rsid w:val="00623AF5"/>
    <w:rsid w:val="00623ED8"/>
    <w:rsid w:val="00624DAE"/>
    <w:rsid w:val="0062582F"/>
    <w:rsid w:val="00630D40"/>
    <w:rsid w:val="00632AF4"/>
    <w:rsid w:val="0063521C"/>
    <w:rsid w:val="00637051"/>
    <w:rsid w:val="00637788"/>
    <w:rsid w:val="006379D6"/>
    <w:rsid w:val="0064027A"/>
    <w:rsid w:val="00641A43"/>
    <w:rsid w:val="00641FEA"/>
    <w:rsid w:val="00642540"/>
    <w:rsid w:val="00642D15"/>
    <w:rsid w:val="00644353"/>
    <w:rsid w:val="0064766D"/>
    <w:rsid w:val="00650F38"/>
    <w:rsid w:val="00653841"/>
    <w:rsid w:val="00654A25"/>
    <w:rsid w:val="006566FD"/>
    <w:rsid w:val="00656D1F"/>
    <w:rsid w:val="006578F5"/>
    <w:rsid w:val="00660F42"/>
    <w:rsid w:val="00661404"/>
    <w:rsid w:val="00663B78"/>
    <w:rsid w:val="0066488F"/>
    <w:rsid w:val="00665FE1"/>
    <w:rsid w:val="006665B7"/>
    <w:rsid w:val="006702FE"/>
    <w:rsid w:val="00671BC3"/>
    <w:rsid w:val="0067437D"/>
    <w:rsid w:val="00674BA0"/>
    <w:rsid w:val="00674BDA"/>
    <w:rsid w:val="00675157"/>
    <w:rsid w:val="0067739E"/>
    <w:rsid w:val="00680BC3"/>
    <w:rsid w:val="00681FA1"/>
    <w:rsid w:val="00683B35"/>
    <w:rsid w:val="00695A5D"/>
    <w:rsid w:val="00695E4A"/>
    <w:rsid w:val="006A149F"/>
    <w:rsid w:val="006A2F82"/>
    <w:rsid w:val="006A34A8"/>
    <w:rsid w:val="006A4C00"/>
    <w:rsid w:val="006B068D"/>
    <w:rsid w:val="006B0ADD"/>
    <w:rsid w:val="006B3363"/>
    <w:rsid w:val="006B3370"/>
    <w:rsid w:val="006C18B6"/>
    <w:rsid w:val="006C2DD0"/>
    <w:rsid w:val="006C31BE"/>
    <w:rsid w:val="006C3564"/>
    <w:rsid w:val="006C39AE"/>
    <w:rsid w:val="006C7228"/>
    <w:rsid w:val="006C784C"/>
    <w:rsid w:val="006D1086"/>
    <w:rsid w:val="006D29C9"/>
    <w:rsid w:val="006D499F"/>
    <w:rsid w:val="006D561B"/>
    <w:rsid w:val="006D7017"/>
    <w:rsid w:val="006E0C85"/>
    <w:rsid w:val="006E32D0"/>
    <w:rsid w:val="006E4F75"/>
    <w:rsid w:val="006E4F83"/>
    <w:rsid w:val="006F4046"/>
    <w:rsid w:val="006F4410"/>
    <w:rsid w:val="006F4A68"/>
    <w:rsid w:val="006F689C"/>
    <w:rsid w:val="00701E7D"/>
    <w:rsid w:val="00704472"/>
    <w:rsid w:val="00704693"/>
    <w:rsid w:val="00705BE7"/>
    <w:rsid w:val="00705CCB"/>
    <w:rsid w:val="00706EC5"/>
    <w:rsid w:val="007137F8"/>
    <w:rsid w:val="007153BD"/>
    <w:rsid w:val="007207DE"/>
    <w:rsid w:val="00722544"/>
    <w:rsid w:val="007226CB"/>
    <w:rsid w:val="00724089"/>
    <w:rsid w:val="0072421E"/>
    <w:rsid w:val="0072598B"/>
    <w:rsid w:val="0073025C"/>
    <w:rsid w:val="00730C7F"/>
    <w:rsid w:val="007310EC"/>
    <w:rsid w:val="00733C1A"/>
    <w:rsid w:val="00736A5E"/>
    <w:rsid w:val="00741ED3"/>
    <w:rsid w:val="00744157"/>
    <w:rsid w:val="007448E9"/>
    <w:rsid w:val="00744AE5"/>
    <w:rsid w:val="007464EA"/>
    <w:rsid w:val="00747A70"/>
    <w:rsid w:val="007511D3"/>
    <w:rsid w:val="00754F4E"/>
    <w:rsid w:val="00755C2E"/>
    <w:rsid w:val="00755F29"/>
    <w:rsid w:val="007567AD"/>
    <w:rsid w:val="007567E1"/>
    <w:rsid w:val="0076022C"/>
    <w:rsid w:val="00761370"/>
    <w:rsid w:val="00764CD3"/>
    <w:rsid w:val="00765456"/>
    <w:rsid w:val="007656C0"/>
    <w:rsid w:val="007669A7"/>
    <w:rsid w:val="007675E4"/>
    <w:rsid w:val="00772376"/>
    <w:rsid w:val="007741C7"/>
    <w:rsid w:val="007742FB"/>
    <w:rsid w:val="0077436E"/>
    <w:rsid w:val="007757C1"/>
    <w:rsid w:val="00781E11"/>
    <w:rsid w:val="00784C71"/>
    <w:rsid w:val="00785BEC"/>
    <w:rsid w:val="00791CC8"/>
    <w:rsid w:val="00792E44"/>
    <w:rsid w:val="0079426C"/>
    <w:rsid w:val="007945B7"/>
    <w:rsid w:val="00795CE6"/>
    <w:rsid w:val="00795D74"/>
    <w:rsid w:val="00796040"/>
    <w:rsid w:val="00796319"/>
    <w:rsid w:val="007A1413"/>
    <w:rsid w:val="007A1699"/>
    <w:rsid w:val="007A1DFC"/>
    <w:rsid w:val="007A4EEA"/>
    <w:rsid w:val="007A6524"/>
    <w:rsid w:val="007A6E63"/>
    <w:rsid w:val="007B0084"/>
    <w:rsid w:val="007B019E"/>
    <w:rsid w:val="007B160E"/>
    <w:rsid w:val="007B180C"/>
    <w:rsid w:val="007B60FD"/>
    <w:rsid w:val="007B66DE"/>
    <w:rsid w:val="007B6F4A"/>
    <w:rsid w:val="007B7A2F"/>
    <w:rsid w:val="007C0E25"/>
    <w:rsid w:val="007C109A"/>
    <w:rsid w:val="007C1E7B"/>
    <w:rsid w:val="007C23DD"/>
    <w:rsid w:val="007C3373"/>
    <w:rsid w:val="007C43CA"/>
    <w:rsid w:val="007C6167"/>
    <w:rsid w:val="007C6641"/>
    <w:rsid w:val="007C6887"/>
    <w:rsid w:val="007C6B3D"/>
    <w:rsid w:val="007D011B"/>
    <w:rsid w:val="007D0586"/>
    <w:rsid w:val="007D1DAB"/>
    <w:rsid w:val="007D4235"/>
    <w:rsid w:val="007D596A"/>
    <w:rsid w:val="007D6690"/>
    <w:rsid w:val="007D6DB7"/>
    <w:rsid w:val="007D6E20"/>
    <w:rsid w:val="007E28DF"/>
    <w:rsid w:val="007E4331"/>
    <w:rsid w:val="007E735E"/>
    <w:rsid w:val="007E74E3"/>
    <w:rsid w:val="007F05AB"/>
    <w:rsid w:val="007F22E6"/>
    <w:rsid w:val="007F3113"/>
    <w:rsid w:val="007F317E"/>
    <w:rsid w:val="007F5084"/>
    <w:rsid w:val="007F59AE"/>
    <w:rsid w:val="007F5B65"/>
    <w:rsid w:val="007F6126"/>
    <w:rsid w:val="007F6310"/>
    <w:rsid w:val="007F6A60"/>
    <w:rsid w:val="007F6F2D"/>
    <w:rsid w:val="008002BD"/>
    <w:rsid w:val="0080255A"/>
    <w:rsid w:val="0080346A"/>
    <w:rsid w:val="00805C09"/>
    <w:rsid w:val="0080722F"/>
    <w:rsid w:val="00811FDE"/>
    <w:rsid w:val="008136DB"/>
    <w:rsid w:val="008141AF"/>
    <w:rsid w:val="008153C1"/>
    <w:rsid w:val="0081546E"/>
    <w:rsid w:val="008179A9"/>
    <w:rsid w:val="0082041E"/>
    <w:rsid w:val="00820DD6"/>
    <w:rsid w:val="00821989"/>
    <w:rsid w:val="0082244A"/>
    <w:rsid w:val="00823A7A"/>
    <w:rsid w:val="008252BC"/>
    <w:rsid w:val="00825D42"/>
    <w:rsid w:val="00826D4D"/>
    <w:rsid w:val="00826D74"/>
    <w:rsid w:val="00833122"/>
    <w:rsid w:val="00835283"/>
    <w:rsid w:val="00836B0C"/>
    <w:rsid w:val="0084174E"/>
    <w:rsid w:val="0084194C"/>
    <w:rsid w:val="008429AC"/>
    <w:rsid w:val="00843585"/>
    <w:rsid w:val="00843F40"/>
    <w:rsid w:val="00843F54"/>
    <w:rsid w:val="00844302"/>
    <w:rsid w:val="00851497"/>
    <w:rsid w:val="00851FF0"/>
    <w:rsid w:val="008536C8"/>
    <w:rsid w:val="00853A79"/>
    <w:rsid w:val="00853AA2"/>
    <w:rsid w:val="0085412B"/>
    <w:rsid w:val="00856069"/>
    <w:rsid w:val="008560F3"/>
    <w:rsid w:val="0085651B"/>
    <w:rsid w:val="00860774"/>
    <w:rsid w:val="0086338F"/>
    <w:rsid w:val="008644A9"/>
    <w:rsid w:val="00865290"/>
    <w:rsid w:val="00867468"/>
    <w:rsid w:val="00870291"/>
    <w:rsid w:val="008706A7"/>
    <w:rsid w:val="0087618B"/>
    <w:rsid w:val="008766FA"/>
    <w:rsid w:val="008831BF"/>
    <w:rsid w:val="008832CB"/>
    <w:rsid w:val="00884A3E"/>
    <w:rsid w:val="00886D25"/>
    <w:rsid w:val="008900A2"/>
    <w:rsid w:val="00892D04"/>
    <w:rsid w:val="00892DF4"/>
    <w:rsid w:val="00893C07"/>
    <w:rsid w:val="008940A4"/>
    <w:rsid w:val="00894C7D"/>
    <w:rsid w:val="00895AC2"/>
    <w:rsid w:val="0089681E"/>
    <w:rsid w:val="008A1120"/>
    <w:rsid w:val="008A147B"/>
    <w:rsid w:val="008A1D7B"/>
    <w:rsid w:val="008A1D92"/>
    <w:rsid w:val="008A2FE6"/>
    <w:rsid w:val="008A40D9"/>
    <w:rsid w:val="008B0365"/>
    <w:rsid w:val="008B064C"/>
    <w:rsid w:val="008B06FA"/>
    <w:rsid w:val="008B0BE5"/>
    <w:rsid w:val="008B25E3"/>
    <w:rsid w:val="008B2687"/>
    <w:rsid w:val="008B3ED4"/>
    <w:rsid w:val="008B4B1F"/>
    <w:rsid w:val="008B6B79"/>
    <w:rsid w:val="008B7DB4"/>
    <w:rsid w:val="008C08CD"/>
    <w:rsid w:val="008C3B8E"/>
    <w:rsid w:val="008C45C7"/>
    <w:rsid w:val="008C5C5E"/>
    <w:rsid w:val="008C5E0A"/>
    <w:rsid w:val="008C741F"/>
    <w:rsid w:val="008C7860"/>
    <w:rsid w:val="008C7E21"/>
    <w:rsid w:val="008D1EDA"/>
    <w:rsid w:val="008D25F3"/>
    <w:rsid w:val="008D63B4"/>
    <w:rsid w:val="008E0E15"/>
    <w:rsid w:val="008E0F7A"/>
    <w:rsid w:val="008E1887"/>
    <w:rsid w:val="008E1DCF"/>
    <w:rsid w:val="008E21F8"/>
    <w:rsid w:val="008E2525"/>
    <w:rsid w:val="008E2EA5"/>
    <w:rsid w:val="008E432E"/>
    <w:rsid w:val="008E54C6"/>
    <w:rsid w:val="008E7C3E"/>
    <w:rsid w:val="008F26D8"/>
    <w:rsid w:val="008F2F0B"/>
    <w:rsid w:val="008F3142"/>
    <w:rsid w:val="008F5970"/>
    <w:rsid w:val="00900E21"/>
    <w:rsid w:val="00902212"/>
    <w:rsid w:val="00902245"/>
    <w:rsid w:val="00906E13"/>
    <w:rsid w:val="009100B3"/>
    <w:rsid w:val="00910A98"/>
    <w:rsid w:val="0091103E"/>
    <w:rsid w:val="009114B9"/>
    <w:rsid w:val="009127D3"/>
    <w:rsid w:val="00913DE1"/>
    <w:rsid w:val="00915B82"/>
    <w:rsid w:val="00916E4D"/>
    <w:rsid w:val="009225EA"/>
    <w:rsid w:val="009227A2"/>
    <w:rsid w:val="0092355E"/>
    <w:rsid w:val="00924077"/>
    <w:rsid w:val="00924393"/>
    <w:rsid w:val="0093266F"/>
    <w:rsid w:val="009333FC"/>
    <w:rsid w:val="00933475"/>
    <w:rsid w:val="00934873"/>
    <w:rsid w:val="00934AE0"/>
    <w:rsid w:val="00935409"/>
    <w:rsid w:val="009358B6"/>
    <w:rsid w:val="009370AF"/>
    <w:rsid w:val="00937C9F"/>
    <w:rsid w:val="00940ECF"/>
    <w:rsid w:val="00941392"/>
    <w:rsid w:val="00941B6E"/>
    <w:rsid w:val="0094461F"/>
    <w:rsid w:val="00944B55"/>
    <w:rsid w:val="00944EA3"/>
    <w:rsid w:val="009462D8"/>
    <w:rsid w:val="009465AF"/>
    <w:rsid w:val="009505E4"/>
    <w:rsid w:val="00950B60"/>
    <w:rsid w:val="00951956"/>
    <w:rsid w:val="00952E1B"/>
    <w:rsid w:val="0095570B"/>
    <w:rsid w:val="009561C5"/>
    <w:rsid w:val="00957CEA"/>
    <w:rsid w:val="00961FA3"/>
    <w:rsid w:val="00961FCD"/>
    <w:rsid w:val="009622A1"/>
    <w:rsid w:val="00963BF3"/>
    <w:rsid w:val="00966309"/>
    <w:rsid w:val="009667CD"/>
    <w:rsid w:val="009702DB"/>
    <w:rsid w:val="00973FAC"/>
    <w:rsid w:val="00974108"/>
    <w:rsid w:val="00974FF4"/>
    <w:rsid w:val="0097572C"/>
    <w:rsid w:val="00975ACF"/>
    <w:rsid w:val="00976A93"/>
    <w:rsid w:val="00976EFF"/>
    <w:rsid w:val="00980EAE"/>
    <w:rsid w:val="009827D1"/>
    <w:rsid w:val="00982B2B"/>
    <w:rsid w:val="00987238"/>
    <w:rsid w:val="00987905"/>
    <w:rsid w:val="00992F26"/>
    <w:rsid w:val="00993B0C"/>
    <w:rsid w:val="00993BC8"/>
    <w:rsid w:val="009947E0"/>
    <w:rsid w:val="00994892"/>
    <w:rsid w:val="00994E7B"/>
    <w:rsid w:val="0099670A"/>
    <w:rsid w:val="009A0C29"/>
    <w:rsid w:val="009A1172"/>
    <w:rsid w:val="009A13AE"/>
    <w:rsid w:val="009A49FD"/>
    <w:rsid w:val="009A5BFB"/>
    <w:rsid w:val="009A67A2"/>
    <w:rsid w:val="009A716E"/>
    <w:rsid w:val="009B1523"/>
    <w:rsid w:val="009B255F"/>
    <w:rsid w:val="009B2E54"/>
    <w:rsid w:val="009B4591"/>
    <w:rsid w:val="009B7775"/>
    <w:rsid w:val="009C0E7C"/>
    <w:rsid w:val="009C174D"/>
    <w:rsid w:val="009C669A"/>
    <w:rsid w:val="009C6E5B"/>
    <w:rsid w:val="009D02F4"/>
    <w:rsid w:val="009D105C"/>
    <w:rsid w:val="009D37C5"/>
    <w:rsid w:val="009D38D6"/>
    <w:rsid w:val="009D3E96"/>
    <w:rsid w:val="009E154E"/>
    <w:rsid w:val="009E3C2C"/>
    <w:rsid w:val="009E61D9"/>
    <w:rsid w:val="009E68D4"/>
    <w:rsid w:val="009E69BA"/>
    <w:rsid w:val="009F0F94"/>
    <w:rsid w:val="009F11C2"/>
    <w:rsid w:val="009F1636"/>
    <w:rsid w:val="009F275F"/>
    <w:rsid w:val="009F27F2"/>
    <w:rsid w:val="009F2C5C"/>
    <w:rsid w:val="009F6F19"/>
    <w:rsid w:val="009F6FEC"/>
    <w:rsid w:val="009F7BF8"/>
    <w:rsid w:val="00A04D65"/>
    <w:rsid w:val="00A06732"/>
    <w:rsid w:val="00A06E44"/>
    <w:rsid w:val="00A0762F"/>
    <w:rsid w:val="00A11CBF"/>
    <w:rsid w:val="00A11E56"/>
    <w:rsid w:val="00A1235B"/>
    <w:rsid w:val="00A125E1"/>
    <w:rsid w:val="00A12807"/>
    <w:rsid w:val="00A147AB"/>
    <w:rsid w:val="00A147D1"/>
    <w:rsid w:val="00A15FFE"/>
    <w:rsid w:val="00A162E6"/>
    <w:rsid w:val="00A17AF4"/>
    <w:rsid w:val="00A205AE"/>
    <w:rsid w:val="00A20A9F"/>
    <w:rsid w:val="00A22B87"/>
    <w:rsid w:val="00A22C40"/>
    <w:rsid w:val="00A231B4"/>
    <w:rsid w:val="00A24750"/>
    <w:rsid w:val="00A254FD"/>
    <w:rsid w:val="00A267E0"/>
    <w:rsid w:val="00A26984"/>
    <w:rsid w:val="00A26B0A"/>
    <w:rsid w:val="00A26D12"/>
    <w:rsid w:val="00A31F6B"/>
    <w:rsid w:val="00A32379"/>
    <w:rsid w:val="00A333FF"/>
    <w:rsid w:val="00A34FF6"/>
    <w:rsid w:val="00A41B06"/>
    <w:rsid w:val="00A425AA"/>
    <w:rsid w:val="00A43244"/>
    <w:rsid w:val="00A438F6"/>
    <w:rsid w:val="00A44326"/>
    <w:rsid w:val="00A44980"/>
    <w:rsid w:val="00A44B3E"/>
    <w:rsid w:val="00A476E9"/>
    <w:rsid w:val="00A47B9B"/>
    <w:rsid w:val="00A47F51"/>
    <w:rsid w:val="00A50C8D"/>
    <w:rsid w:val="00A52136"/>
    <w:rsid w:val="00A52424"/>
    <w:rsid w:val="00A530F8"/>
    <w:rsid w:val="00A5361E"/>
    <w:rsid w:val="00A536FD"/>
    <w:rsid w:val="00A5430E"/>
    <w:rsid w:val="00A55F1C"/>
    <w:rsid w:val="00A562F9"/>
    <w:rsid w:val="00A56B88"/>
    <w:rsid w:val="00A57383"/>
    <w:rsid w:val="00A6006F"/>
    <w:rsid w:val="00A61584"/>
    <w:rsid w:val="00A61808"/>
    <w:rsid w:val="00A61A5A"/>
    <w:rsid w:val="00A63F84"/>
    <w:rsid w:val="00A655E5"/>
    <w:rsid w:val="00A67166"/>
    <w:rsid w:val="00A70689"/>
    <w:rsid w:val="00A71983"/>
    <w:rsid w:val="00A7360D"/>
    <w:rsid w:val="00A738B2"/>
    <w:rsid w:val="00A750B8"/>
    <w:rsid w:val="00A75616"/>
    <w:rsid w:val="00A75A9F"/>
    <w:rsid w:val="00A77591"/>
    <w:rsid w:val="00A81985"/>
    <w:rsid w:val="00A83A91"/>
    <w:rsid w:val="00A84E2A"/>
    <w:rsid w:val="00A85616"/>
    <w:rsid w:val="00A8599C"/>
    <w:rsid w:val="00A90528"/>
    <w:rsid w:val="00A90891"/>
    <w:rsid w:val="00A90A98"/>
    <w:rsid w:val="00A90B03"/>
    <w:rsid w:val="00A93B85"/>
    <w:rsid w:val="00A93E07"/>
    <w:rsid w:val="00A948BB"/>
    <w:rsid w:val="00A95C2F"/>
    <w:rsid w:val="00A96710"/>
    <w:rsid w:val="00A9676F"/>
    <w:rsid w:val="00AA1271"/>
    <w:rsid w:val="00AA1CA7"/>
    <w:rsid w:val="00AA3EC1"/>
    <w:rsid w:val="00AA4F77"/>
    <w:rsid w:val="00AA5732"/>
    <w:rsid w:val="00AA5A24"/>
    <w:rsid w:val="00AA5B2E"/>
    <w:rsid w:val="00AA63B6"/>
    <w:rsid w:val="00AA7420"/>
    <w:rsid w:val="00AB3CDF"/>
    <w:rsid w:val="00AB4122"/>
    <w:rsid w:val="00AB4DA4"/>
    <w:rsid w:val="00AB54AD"/>
    <w:rsid w:val="00AB5E44"/>
    <w:rsid w:val="00AB748F"/>
    <w:rsid w:val="00AC05DE"/>
    <w:rsid w:val="00AC0A1B"/>
    <w:rsid w:val="00AC1CB0"/>
    <w:rsid w:val="00AC1D25"/>
    <w:rsid w:val="00AC22B0"/>
    <w:rsid w:val="00AC3643"/>
    <w:rsid w:val="00AC4129"/>
    <w:rsid w:val="00AC616D"/>
    <w:rsid w:val="00AC62AB"/>
    <w:rsid w:val="00AC6F47"/>
    <w:rsid w:val="00AD1D88"/>
    <w:rsid w:val="00AD2F5F"/>
    <w:rsid w:val="00AD3D88"/>
    <w:rsid w:val="00AD6442"/>
    <w:rsid w:val="00AD7D97"/>
    <w:rsid w:val="00AE1A9E"/>
    <w:rsid w:val="00AE25E5"/>
    <w:rsid w:val="00AE5938"/>
    <w:rsid w:val="00AE6087"/>
    <w:rsid w:val="00AE6135"/>
    <w:rsid w:val="00AE6CCE"/>
    <w:rsid w:val="00AE7B39"/>
    <w:rsid w:val="00AF08EA"/>
    <w:rsid w:val="00AF099A"/>
    <w:rsid w:val="00AF1662"/>
    <w:rsid w:val="00AF29C0"/>
    <w:rsid w:val="00AF2E3C"/>
    <w:rsid w:val="00AF605B"/>
    <w:rsid w:val="00AF71D1"/>
    <w:rsid w:val="00AF79C0"/>
    <w:rsid w:val="00B02016"/>
    <w:rsid w:val="00B0726E"/>
    <w:rsid w:val="00B073CD"/>
    <w:rsid w:val="00B10082"/>
    <w:rsid w:val="00B1187F"/>
    <w:rsid w:val="00B12998"/>
    <w:rsid w:val="00B14F5F"/>
    <w:rsid w:val="00B15535"/>
    <w:rsid w:val="00B16E9F"/>
    <w:rsid w:val="00B17D51"/>
    <w:rsid w:val="00B22734"/>
    <w:rsid w:val="00B22973"/>
    <w:rsid w:val="00B22A54"/>
    <w:rsid w:val="00B2301D"/>
    <w:rsid w:val="00B230E1"/>
    <w:rsid w:val="00B26616"/>
    <w:rsid w:val="00B2677A"/>
    <w:rsid w:val="00B31424"/>
    <w:rsid w:val="00B31448"/>
    <w:rsid w:val="00B32A5A"/>
    <w:rsid w:val="00B35AA1"/>
    <w:rsid w:val="00B35D5C"/>
    <w:rsid w:val="00B363B5"/>
    <w:rsid w:val="00B372F3"/>
    <w:rsid w:val="00B40E6C"/>
    <w:rsid w:val="00B419DF"/>
    <w:rsid w:val="00B41C0A"/>
    <w:rsid w:val="00B41ED8"/>
    <w:rsid w:val="00B4378F"/>
    <w:rsid w:val="00B43F73"/>
    <w:rsid w:val="00B454A1"/>
    <w:rsid w:val="00B4753A"/>
    <w:rsid w:val="00B478E9"/>
    <w:rsid w:val="00B51133"/>
    <w:rsid w:val="00B51252"/>
    <w:rsid w:val="00B52594"/>
    <w:rsid w:val="00B52858"/>
    <w:rsid w:val="00B5401F"/>
    <w:rsid w:val="00B54CBF"/>
    <w:rsid w:val="00B550CB"/>
    <w:rsid w:val="00B553D7"/>
    <w:rsid w:val="00B55974"/>
    <w:rsid w:val="00B6097F"/>
    <w:rsid w:val="00B6250F"/>
    <w:rsid w:val="00B62684"/>
    <w:rsid w:val="00B634E5"/>
    <w:rsid w:val="00B63739"/>
    <w:rsid w:val="00B63D7B"/>
    <w:rsid w:val="00B640C7"/>
    <w:rsid w:val="00B659F5"/>
    <w:rsid w:val="00B71764"/>
    <w:rsid w:val="00B71DCB"/>
    <w:rsid w:val="00B723B3"/>
    <w:rsid w:val="00B72E4F"/>
    <w:rsid w:val="00B734F4"/>
    <w:rsid w:val="00B742AE"/>
    <w:rsid w:val="00B748A0"/>
    <w:rsid w:val="00B74BB2"/>
    <w:rsid w:val="00B76FC5"/>
    <w:rsid w:val="00B8081E"/>
    <w:rsid w:val="00B82A23"/>
    <w:rsid w:val="00B83A8D"/>
    <w:rsid w:val="00B84499"/>
    <w:rsid w:val="00B84D52"/>
    <w:rsid w:val="00B8548C"/>
    <w:rsid w:val="00B86B6D"/>
    <w:rsid w:val="00B871A1"/>
    <w:rsid w:val="00B90C80"/>
    <w:rsid w:val="00B91ACF"/>
    <w:rsid w:val="00B92494"/>
    <w:rsid w:val="00B92925"/>
    <w:rsid w:val="00B92B7F"/>
    <w:rsid w:val="00B92ECA"/>
    <w:rsid w:val="00B92FE2"/>
    <w:rsid w:val="00B936A4"/>
    <w:rsid w:val="00B93CB0"/>
    <w:rsid w:val="00B9495E"/>
    <w:rsid w:val="00B95DA5"/>
    <w:rsid w:val="00BA0DBA"/>
    <w:rsid w:val="00BA0F6C"/>
    <w:rsid w:val="00BA1F91"/>
    <w:rsid w:val="00BA2E66"/>
    <w:rsid w:val="00BA4C6F"/>
    <w:rsid w:val="00BA4FD5"/>
    <w:rsid w:val="00BA6619"/>
    <w:rsid w:val="00BA781C"/>
    <w:rsid w:val="00BB1237"/>
    <w:rsid w:val="00BB1250"/>
    <w:rsid w:val="00BB38C1"/>
    <w:rsid w:val="00BB498D"/>
    <w:rsid w:val="00BB4DE4"/>
    <w:rsid w:val="00BB5DA3"/>
    <w:rsid w:val="00BB7230"/>
    <w:rsid w:val="00BB7DBF"/>
    <w:rsid w:val="00BC079B"/>
    <w:rsid w:val="00BC1488"/>
    <w:rsid w:val="00BC17C4"/>
    <w:rsid w:val="00BC19B7"/>
    <w:rsid w:val="00BC3D4B"/>
    <w:rsid w:val="00BC3E5C"/>
    <w:rsid w:val="00BC3FA8"/>
    <w:rsid w:val="00BC4553"/>
    <w:rsid w:val="00BC4C6D"/>
    <w:rsid w:val="00BC5B59"/>
    <w:rsid w:val="00BC63F7"/>
    <w:rsid w:val="00BC6B70"/>
    <w:rsid w:val="00BC7698"/>
    <w:rsid w:val="00BC7990"/>
    <w:rsid w:val="00BD35E2"/>
    <w:rsid w:val="00BD3BCC"/>
    <w:rsid w:val="00BD3F68"/>
    <w:rsid w:val="00BD4E82"/>
    <w:rsid w:val="00BD5E4E"/>
    <w:rsid w:val="00BE1F64"/>
    <w:rsid w:val="00BE3574"/>
    <w:rsid w:val="00BE3AA9"/>
    <w:rsid w:val="00BE4828"/>
    <w:rsid w:val="00BF0807"/>
    <w:rsid w:val="00BF16BF"/>
    <w:rsid w:val="00BF2A23"/>
    <w:rsid w:val="00BF2F92"/>
    <w:rsid w:val="00BF3CBE"/>
    <w:rsid w:val="00BF42AB"/>
    <w:rsid w:val="00BF4E0E"/>
    <w:rsid w:val="00BF5C37"/>
    <w:rsid w:val="00BF6197"/>
    <w:rsid w:val="00C00826"/>
    <w:rsid w:val="00C0155E"/>
    <w:rsid w:val="00C01D3D"/>
    <w:rsid w:val="00C022AC"/>
    <w:rsid w:val="00C0447F"/>
    <w:rsid w:val="00C10212"/>
    <w:rsid w:val="00C117F0"/>
    <w:rsid w:val="00C130D2"/>
    <w:rsid w:val="00C132AA"/>
    <w:rsid w:val="00C13E34"/>
    <w:rsid w:val="00C17869"/>
    <w:rsid w:val="00C220F7"/>
    <w:rsid w:val="00C222CA"/>
    <w:rsid w:val="00C22A81"/>
    <w:rsid w:val="00C22DB7"/>
    <w:rsid w:val="00C23039"/>
    <w:rsid w:val="00C27FB5"/>
    <w:rsid w:val="00C30C34"/>
    <w:rsid w:val="00C31033"/>
    <w:rsid w:val="00C31EFD"/>
    <w:rsid w:val="00C33339"/>
    <w:rsid w:val="00C345F1"/>
    <w:rsid w:val="00C3584C"/>
    <w:rsid w:val="00C363EF"/>
    <w:rsid w:val="00C40B4B"/>
    <w:rsid w:val="00C40C1D"/>
    <w:rsid w:val="00C41075"/>
    <w:rsid w:val="00C43531"/>
    <w:rsid w:val="00C43EE8"/>
    <w:rsid w:val="00C44782"/>
    <w:rsid w:val="00C44ED0"/>
    <w:rsid w:val="00C46068"/>
    <w:rsid w:val="00C4617A"/>
    <w:rsid w:val="00C4634A"/>
    <w:rsid w:val="00C47257"/>
    <w:rsid w:val="00C50202"/>
    <w:rsid w:val="00C5037D"/>
    <w:rsid w:val="00C50631"/>
    <w:rsid w:val="00C52C2C"/>
    <w:rsid w:val="00C57600"/>
    <w:rsid w:val="00C57AA6"/>
    <w:rsid w:val="00C602BD"/>
    <w:rsid w:val="00C60FFB"/>
    <w:rsid w:val="00C62B38"/>
    <w:rsid w:val="00C63E0D"/>
    <w:rsid w:val="00C64799"/>
    <w:rsid w:val="00C711C5"/>
    <w:rsid w:val="00C71B99"/>
    <w:rsid w:val="00C722AF"/>
    <w:rsid w:val="00C72722"/>
    <w:rsid w:val="00C7346B"/>
    <w:rsid w:val="00C73E05"/>
    <w:rsid w:val="00C7420B"/>
    <w:rsid w:val="00C7457B"/>
    <w:rsid w:val="00C76BAF"/>
    <w:rsid w:val="00C80287"/>
    <w:rsid w:val="00C80CFA"/>
    <w:rsid w:val="00C81ED5"/>
    <w:rsid w:val="00C83CE0"/>
    <w:rsid w:val="00C840F6"/>
    <w:rsid w:val="00C849DF"/>
    <w:rsid w:val="00C865A6"/>
    <w:rsid w:val="00C86716"/>
    <w:rsid w:val="00C86DDE"/>
    <w:rsid w:val="00C901F4"/>
    <w:rsid w:val="00C90EC5"/>
    <w:rsid w:val="00C920FB"/>
    <w:rsid w:val="00C92FB1"/>
    <w:rsid w:val="00C93003"/>
    <w:rsid w:val="00C95752"/>
    <w:rsid w:val="00C97D93"/>
    <w:rsid w:val="00CA1E75"/>
    <w:rsid w:val="00CA5988"/>
    <w:rsid w:val="00CA6539"/>
    <w:rsid w:val="00CA771D"/>
    <w:rsid w:val="00CB09DE"/>
    <w:rsid w:val="00CB29E6"/>
    <w:rsid w:val="00CB30B3"/>
    <w:rsid w:val="00CB3F1B"/>
    <w:rsid w:val="00CB48E5"/>
    <w:rsid w:val="00CB5F0D"/>
    <w:rsid w:val="00CB73D2"/>
    <w:rsid w:val="00CC1302"/>
    <w:rsid w:val="00CC23BC"/>
    <w:rsid w:val="00CC2C05"/>
    <w:rsid w:val="00CC2FA1"/>
    <w:rsid w:val="00CC3788"/>
    <w:rsid w:val="00CC3D00"/>
    <w:rsid w:val="00CC43C8"/>
    <w:rsid w:val="00CC5166"/>
    <w:rsid w:val="00CC5310"/>
    <w:rsid w:val="00CC6165"/>
    <w:rsid w:val="00CC6ED9"/>
    <w:rsid w:val="00CC7850"/>
    <w:rsid w:val="00CD09C4"/>
    <w:rsid w:val="00CD1AD0"/>
    <w:rsid w:val="00CD3494"/>
    <w:rsid w:val="00CD4F26"/>
    <w:rsid w:val="00CD7FEC"/>
    <w:rsid w:val="00CE0C72"/>
    <w:rsid w:val="00CE22CD"/>
    <w:rsid w:val="00CE2D83"/>
    <w:rsid w:val="00CE32A1"/>
    <w:rsid w:val="00CE3A46"/>
    <w:rsid w:val="00CE3AC7"/>
    <w:rsid w:val="00CE7D25"/>
    <w:rsid w:val="00CF0BB5"/>
    <w:rsid w:val="00CF2690"/>
    <w:rsid w:val="00CF4242"/>
    <w:rsid w:val="00CF4934"/>
    <w:rsid w:val="00CF560E"/>
    <w:rsid w:val="00CF5F3A"/>
    <w:rsid w:val="00CF6A12"/>
    <w:rsid w:val="00D029FC"/>
    <w:rsid w:val="00D030E5"/>
    <w:rsid w:val="00D0342B"/>
    <w:rsid w:val="00D037E1"/>
    <w:rsid w:val="00D040DE"/>
    <w:rsid w:val="00D04941"/>
    <w:rsid w:val="00D05CD3"/>
    <w:rsid w:val="00D06CB2"/>
    <w:rsid w:val="00D10593"/>
    <w:rsid w:val="00D11DF1"/>
    <w:rsid w:val="00D136CF"/>
    <w:rsid w:val="00D13F7C"/>
    <w:rsid w:val="00D15726"/>
    <w:rsid w:val="00D17263"/>
    <w:rsid w:val="00D20CD8"/>
    <w:rsid w:val="00D2129F"/>
    <w:rsid w:val="00D24852"/>
    <w:rsid w:val="00D330AC"/>
    <w:rsid w:val="00D346A4"/>
    <w:rsid w:val="00D34E8A"/>
    <w:rsid w:val="00D41524"/>
    <w:rsid w:val="00D41848"/>
    <w:rsid w:val="00D43BD2"/>
    <w:rsid w:val="00D4431A"/>
    <w:rsid w:val="00D45984"/>
    <w:rsid w:val="00D50871"/>
    <w:rsid w:val="00D5157F"/>
    <w:rsid w:val="00D51C11"/>
    <w:rsid w:val="00D52BC5"/>
    <w:rsid w:val="00D53BA9"/>
    <w:rsid w:val="00D5455A"/>
    <w:rsid w:val="00D566E7"/>
    <w:rsid w:val="00D56E37"/>
    <w:rsid w:val="00D60D0A"/>
    <w:rsid w:val="00D639F2"/>
    <w:rsid w:val="00D63ABA"/>
    <w:rsid w:val="00D6581B"/>
    <w:rsid w:val="00D67C59"/>
    <w:rsid w:val="00D71D89"/>
    <w:rsid w:val="00D7315F"/>
    <w:rsid w:val="00D7462E"/>
    <w:rsid w:val="00D758FA"/>
    <w:rsid w:val="00D77DDF"/>
    <w:rsid w:val="00D77F8D"/>
    <w:rsid w:val="00D8009D"/>
    <w:rsid w:val="00D81ED9"/>
    <w:rsid w:val="00D848E0"/>
    <w:rsid w:val="00D8744E"/>
    <w:rsid w:val="00D87711"/>
    <w:rsid w:val="00D87DED"/>
    <w:rsid w:val="00D90EA5"/>
    <w:rsid w:val="00D92D76"/>
    <w:rsid w:val="00D946E9"/>
    <w:rsid w:val="00D948A4"/>
    <w:rsid w:val="00D96D9D"/>
    <w:rsid w:val="00D96E2E"/>
    <w:rsid w:val="00DA0AC6"/>
    <w:rsid w:val="00DA0F23"/>
    <w:rsid w:val="00DA1F1C"/>
    <w:rsid w:val="00DA2755"/>
    <w:rsid w:val="00DA352E"/>
    <w:rsid w:val="00DA38E5"/>
    <w:rsid w:val="00DA555C"/>
    <w:rsid w:val="00DB0B24"/>
    <w:rsid w:val="00DB4018"/>
    <w:rsid w:val="00DB4AFE"/>
    <w:rsid w:val="00DB6FF3"/>
    <w:rsid w:val="00DB7EC5"/>
    <w:rsid w:val="00DC184E"/>
    <w:rsid w:val="00DC2190"/>
    <w:rsid w:val="00DC4BAD"/>
    <w:rsid w:val="00DC5139"/>
    <w:rsid w:val="00DC6DE4"/>
    <w:rsid w:val="00DC754D"/>
    <w:rsid w:val="00DD010A"/>
    <w:rsid w:val="00DD03E1"/>
    <w:rsid w:val="00DD220E"/>
    <w:rsid w:val="00DD228D"/>
    <w:rsid w:val="00DD2ABF"/>
    <w:rsid w:val="00DD3775"/>
    <w:rsid w:val="00DD3A55"/>
    <w:rsid w:val="00DD5DBF"/>
    <w:rsid w:val="00DD655B"/>
    <w:rsid w:val="00DD6E88"/>
    <w:rsid w:val="00DD7B93"/>
    <w:rsid w:val="00DE0B4D"/>
    <w:rsid w:val="00DE2E6C"/>
    <w:rsid w:val="00DE3B89"/>
    <w:rsid w:val="00DE4FF6"/>
    <w:rsid w:val="00DE65E3"/>
    <w:rsid w:val="00DE718F"/>
    <w:rsid w:val="00DF0D3C"/>
    <w:rsid w:val="00DF1A43"/>
    <w:rsid w:val="00DF30C3"/>
    <w:rsid w:val="00DF53DB"/>
    <w:rsid w:val="00DF71EB"/>
    <w:rsid w:val="00DF76AE"/>
    <w:rsid w:val="00DF7BEA"/>
    <w:rsid w:val="00E0025A"/>
    <w:rsid w:val="00E002EB"/>
    <w:rsid w:val="00E012A0"/>
    <w:rsid w:val="00E0130B"/>
    <w:rsid w:val="00E02F47"/>
    <w:rsid w:val="00E0414A"/>
    <w:rsid w:val="00E04EBE"/>
    <w:rsid w:val="00E11351"/>
    <w:rsid w:val="00E133A7"/>
    <w:rsid w:val="00E133FD"/>
    <w:rsid w:val="00E13CD0"/>
    <w:rsid w:val="00E1475F"/>
    <w:rsid w:val="00E1493C"/>
    <w:rsid w:val="00E14F35"/>
    <w:rsid w:val="00E16D59"/>
    <w:rsid w:val="00E21EDD"/>
    <w:rsid w:val="00E22616"/>
    <w:rsid w:val="00E22703"/>
    <w:rsid w:val="00E22EF7"/>
    <w:rsid w:val="00E253CC"/>
    <w:rsid w:val="00E26DCF"/>
    <w:rsid w:val="00E31669"/>
    <w:rsid w:val="00E31CF9"/>
    <w:rsid w:val="00E3293C"/>
    <w:rsid w:val="00E33C7B"/>
    <w:rsid w:val="00E36575"/>
    <w:rsid w:val="00E37C6C"/>
    <w:rsid w:val="00E40BCC"/>
    <w:rsid w:val="00E4191D"/>
    <w:rsid w:val="00E42C3B"/>
    <w:rsid w:val="00E43347"/>
    <w:rsid w:val="00E43D1F"/>
    <w:rsid w:val="00E43DF7"/>
    <w:rsid w:val="00E448FE"/>
    <w:rsid w:val="00E455D3"/>
    <w:rsid w:val="00E50174"/>
    <w:rsid w:val="00E50623"/>
    <w:rsid w:val="00E50843"/>
    <w:rsid w:val="00E50A5C"/>
    <w:rsid w:val="00E511D0"/>
    <w:rsid w:val="00E51640"/>
    <w:rsid w:val="00E52967"/>
    <w:rsid w:val="00E5367F"/>
    <w:rsid w:val="00E53F91"/>
    <w:rsid w:val="00E54D93"/>
    <w:rsid w:val="00E55640"/>
    <w:rsid w:val="00E56590"/>
    <w:rsid w:val="00E567FE"/>
    <w:rsid w:val="00E5794A"/>
    <w:rsid w:val="00E60403"/>
    <w:rsid w:val="00E60B43"/>
    <w:rsid w:val="00E61911"/>
    <w:rsid w:val="00E643CE"/>
    <w:rsid w:val="00E66B1E"/>
    <w:rsid w:val="00E674A2"/>
    <w:rsid w:val="00E70CCB"/>
    <w:rsid w:val="00E719D5"/>
    <w:rsid w:val="00E72523"/>
    <w:rsid w:val="00E7571E"/>
    <w:rsid w:val="00E76E8E"/>
    <w:rsid w:val="00E77348"/>
    <w:rsid w:val="00E8381D"/>
    <w:rsid w:val="00E87821"/>
    <w:rsid w:val="00E90752"/>
    <w:rsid w:val="00E90948"/>
    <w:rsid w:val="00E9177D"/>
    <w:rsid w:val="00E9312B"/>
    <w:rsid w:val="00E951EC"/>
    <w:rsid w:val="00EA0671"/>
    <w:rsid w:val="00EA2A4F"/>
    <w:rsid w:val="00EA38BA"/>
    <w:rsid w:val="00EA4B14"/>
    <w:rsid w:val="00EA7ACB"/>
    <w:rsid w:val="00EB247C"/>
    <w:rsid w:val="00EB2507"/>
    <w:rsid w:val="00EB3263"/>
    <w:rsid w:val="00EB3EC7"/>
    <w:rsid w:val="00EB4230"/>
    <w:rsid w:val="00EB43E2"/>
    <w:rsid w:val="00EB45B9"/>
    <w:rsid w:val="00EC1DD4"/>
    <w:rsid w:val="00EC45A1"/>
    <w:rsid w:val="00EC62DE"/>
    <w:rsid w:val="00EC6387"/>
    <w:rsid w:val="00EC7CE6"/>
    <w:rsid w:val="00ED0109"/>
    <w:rsid w:val="00ED0B13"/>
    <w:rsid w:val="00ED359E"/>
    <w:rsid w:val="00ED3BC4"/>
    <w:rsid w:val="00ED584B"/>
    <w:rsid w:val="00ED657D"/>
    <w:rsid w:val="00ED6711"/>
    <w:rsid w:val="00ED68FF"/>
    <w:rsid w:val="00ED7E0C"/>
    <w:rsid w:val="00EE60FA"/>
    <w:rsid w:val="00EE6612"/>
    <w:rsid w:val="00EE7D59"/>
    <w:rsid w:val="00EF07BB"/>
    <w:rsid w:val="00EF0930"/>
    <w:rsid w:val="00EF26CF"/>
    <w:rsid w:val="00EF32CC"/>
    <w:rsid w:val="00EF34C1"/>
    <w:rsid w:val="00EF517D"/>
    <w:rsid w:val="00EF5503"/>
    <w:rsid w:val="00EF63D4"/>
    <w:rsid w:val="00F007DD"/>
    <w:rsid w:val="00F00DB3"/>
    <w:rsid w:val="00F014AC"/>
    <w:rsid w:val="00F01A8E"/>
    <w:rsid w:val="00F02EF9"/>
    <w:rsid w:val="00F043AC"/>
    <w:rsid w:val="00F04BED"/>
    <w:rsid w:val="00F04D02"/>
    <w:rsid w:val="00F04E80"/>
    <w:rsid w:val="00F06F47"/>
    <w:rsid w:val="00F10282"/>
    <w:rsid w:val="00F118DF"/>
    <w:rsid w:val="00F11B9E"/>
    <w:rsid w:val="00F124ED"/>
    <w:rsid w:val="00F129C9"/>
    <w:rsid w:val="00F1462F"/>
    <w:rsid w:val="00F16371"/>
    <w:rsid w:val="00F17F26"/>
    <w:rsid w:val="00F217E1"/>
    <w:rsid w:val="00F21F56"/>
    <w:rsid w:val="00F221B5"/>
    <w:rsid w:val="00F230F8"/>
    <w:rsid w:val="00F23302"/>
    <w:rsid w:val="00F2431D"/>
    <w:rsid w:val="00F30734"/>
    <w:rsid w:val="00F31B36"/>
    <w:rsid w:val="00F3228A"/>
    <w:rsid w:val="00F33A5B"/>
    <w:rsid w:val="00F46048"/>
    <w:rsid w:val="00F5138D"/>
    <w:rsid w:val="00F51CA6"/>
    <w:rsid w:val="00F52914"/>
    <w:rsid w:val="00F5563F"/>
    <w:rsid w:val="00F6057F"/>
    <w:rsid w:val="00F611BC"/>
    <w:rsid w:val="00F620FD"/>
    <w:rsid w:val="00F67727"/>
    <w:rsid w:val="00F70971"/>
    <w:rsid w:val="00F710EC"/>
    <w:rsid w:val="00F71A85"/>
    <w:rsid w:val="00F72187"/>
    <w:rsid w:val="00F7465D"/>
    <w:rsid w:val="00F74786"/>
    <w:rsid w:val="00F7495C"/>
    <w:rsid w:val="00F74A4D"/>
    <w:rsid w:val="00F7547E"/>
    <w:rsid w:val="00F7742D"/>
    <w:rsid w:val="00F81165"/>
    <w:rsid w:val="00F81881"/>
    <w:rsid w:val="00F81F67"/>
    <w:rsid w:val="00F825FF"/>
    <w:rsid w:val="00F83F7A"/>
    <w:rsid w:val="00F84278"/>
    <w:rsid w:val="00F84E1F"/>
    <w:rsid w:val="00F86063"/>
    <w:rsid w:val="00F8725B"/>
    <w:rsid w:val="00F9057E"/>
    <w:rsid w:val="00F909BB"/>
    <w:rsid w:val="00F92A62"/>
    <w:rsid w:val="00F94E01"/>
    <w:rsid w:val="00F955F3"/>
    <w:rsid w:val="00F95A1D"/>
    <w:rsid w:val="00F95EE1"/>
    <w:rsid w:val="00F96F10"/>
    <w:rsid w:val="00F97977"/>
    <w:rsid w:val="00FA088B"/>
    <w:rsid w:val="00FA0A04"/>
    <w:rsid w:val="00FA17D4"/>
    <w:rsid w:val="00FA4A14"/>
    <w:rsid w:val="00FA5183"/>
    <w:rsid w:val="00FA6955"/>
    <w:rsid w:val="00FA73CE"/>
    <w:rsid w:val="00FB319A"/>
    <w:rsid w:val="00FB3ABB"/>
    <w:rsid w:val="00FB4A8E"/>
    <w:rsid w:val="00FB59E3"/>
    <w:rsid w:val="00FB6D24"/>
    <w:rsid w:val="00FB73BF"/>
    <w:rsid w:val="00FC0AE0"/>
    <w:rsid w:val="00FC126B"/>
    <w:rsid w:val="00FC151E"/>
    <w:rsid w:val="00FC18B6"/>
    <w:rsid w:val="00FC569C"/>
    <w:rsid w:val="00FD0D17"/>
    <w:rsid w:val="00FD163F"/>
    <w:rsid w:val="00FD26E8"/>
    <w:rsid w:val="00FD2ECA"/>
    <w:rsid w:val="00FD3F3B"/>
    <w:rsid w:val="00FD6BCB"/>
    <w:rsid w:val="00FD6E2C"/>
    <w:rsid w:val="00FE2C8F"/>
    <w:rsid w:val="00FF0E46"/>
    <w:rsid w:val="00FF2B69"/>
    <w:rsid w:val="00FF2B96"/>
    <w:rsid w:val="00FF2C3B"/>
    <w:rsid w:val="00FF4E86"/>
    <w:rsid w:val="00FF7D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5BE5E"/>
  <w15:chartTrackingRefBased/>
  <w15:docId w15:val="{9F5DA066-D4F6-4F50-9FD8-4ECBBAFAF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bCs/>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7905"/>
    <w:pPr>
      <w:ind w:left="720"/>
      <w:contextualSpacing/>
    </w:pPr>
  </w:style>
  <w:style w:type="character" w:styleId="CommentReference">
    <w:name w:val="annotation reference"/>
    <w:basedOn w:val="DefaultParagraphFont"/>
    <w:uiPriority w:val="99"/>
    <w:semiHidden/>
    <w:unhideWhenUsed/>
    <w:rsid w:val="00C80287"/>
    <w:rPr>
      <w:sz w:val="16"/>
      <w:szCs w:val="16"/>
    </w:rPr>
  </w:style>
  <w:style w:type="paragraph" w:styleId="CommentText">
    <w:name w:val="annotation text"/>
    <w:basedOn w:val="Normal"/>
    <w:link w:val="CommentTextChar"/>
    <w:uiPriority w:val="99"/>
    <w:unhideWhenUsed/>
    <w:rsid w:val="00C80287"/>
    <w:pPr>
      <w:spacing w:line="240" w:lineRule="auto"/>
    </w:pPr>
    <w:rPr>
      <w:sz w:val="20"/>
      <w:szCs w:val="20"/>
    </w:rPr>
  </w:style>
  <w:style w:type="character" w:customStyle="1" w:styleId="CommentTextChar">
    <w:name w:val="Comment Text Char"/>
    <w:basedOn w:val="DefaultParagraphFont"/>
    <w:link w:val="CommentText"/>
    <w:uiPriority w:val="99"/>
    <w:rsid w:val="00C80287"/>
    <w:rPr>
      <w:sz w:val="20"/>
      <w:szCs w:val="20"/>
    </w:rPr>
  </w:style>
  <w:style w:type="paragraph" w:styleId="CommentSubject">
    <w:name w:val="annotation subject"/>
    <w:basedOn w:val="CommentText"/>
    <w:next w:val="CommentText"/>
    <w:link w:val="CommentSubjectChar"/>
    <w:uiPriority w:val="99"/>
    <w:semiHidden/>
    <w:unhideWhenUsed/>
    <w:rsid w:val="00C80287"/>
    <w:rPr>
      <w:b/>
    </w:rPr>
  </w:style>
  <w:style w:type="character" w:customStyle="1" w:styleId="CommentSubjectChar">
    <w:name w:val="Comment Subject Char"/>
    <w:basedOn w:val="CommentTextChar"/>
    <w:link w:val="CommentSubject"/>
    <w:uiPriority w:val="99"/>
    <w:semiHidden/>
    <w:rsid w:val="00C80287"/>
    <w:rPr>
      <w:b/>
      <w:sz w:val="20"/>
      <w:szCs w:val="20"/>
    </w:rPr>
  </w:style>
  <w:style w:type="paragraph" w:styleId="BalloonText">
    <w:name w:val="Balloon Text"/>
    <w:basedOn w:val="Normal"/>
    <w:link w:val="BalloonTextChar"/>
    <w:uiPriority w:val="99"/>
    <w:semiHidden/>
    <w:unhideWhenUsed/>
    <w:rsid w:val="00C802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0287"/>
    <w:rPr>
      <w:rFonts w:ascii="Segoe UI" w:hAnsi="Segoe UI" w:cs="Segoe UI"/>
      <w:sz w:val="18"/>
      <w:szCs w:val="18"/>
    </w:rPr>
  </w:style>
  <w:style w:type="paragraph" w:styleId="BodyText">
    <w:name w:val="Body Text"/>
    <w:basedOn w:val="Normal"/>
    <w:link w:val="BodyTextChar"/>
    <w:rsid w:val="00FD3F3B"/>
    <w:pPr>
      <w:spacing w:after="0" w:line="240" w:lineRule="auto"/>
    </w:pPr>
    <w:rPr>
      <w:rFonts w:ascii="CG Times" w:eastAsia="Times New Roman" w:hAnsi="CG Times"/>
      <w:bCs w:val="0"/>
      <w:snapToGrid w:val="0"/>
      <w:sz w:val="22"/>
      <w:szCs w:val="20"/>
    </w:rPr>
  </w:style>
  <w:style w:type="character" w:customStyle="1" w:styleId="BodyTextChar">
    <w:name w:val="Body Text Char"/>
    <w:basedOn w:val="DefaultParagraphFont"/>
    <w:link w:val="BodyText"/>
    <w:rsid w:val="00FD3F3B"/>
    <w:rPr>
      <w:rFonts w:ascii="CG Times" w:eastAsia="Times New Roman" w:hAnsi="CG Times"/>
      <w:bCs w:val="0"/>
      <w:snapToGrid w:val="0"/>
      <w:sz w:val="22"/>
      <w:szCs w:val="20"/>
    </w:rPr>
  </w:style>
  <w:style w:type="character" w:styleId="Hyperlink">
    <w:name w:val="Hyperlink"/>
    <w:rsid w:val="00FD3F3B"/>
    <w:rPr>
      <w:color w:val="0000FF"/>
      <w:u w:val="single"/>
    </w:rPr>
  </w:style>
  <w:style w:type="character" w:styleId="FollowedHyperlink">
    <w:name w:val="FollowedHyperlink"/>
    <w:basedOn w:val="DefaultParagraphFont"/>
    <w:uiPriority w:val="99"/>
    <w:semiHidden/>
    <w:unhideWhenUsed/>
    <w:rsid w:val="00141D7B"/>
    <w:rPr>
      <w:color w:val="954F72" w:themeColor="followedHyperlink"/>
      <w:u w:val="single"/>
    </w:rPr>
  </w:style>
  <w:style w:type="paragraph" w:styleId="NormalWeb">
    <w:name w:val="Normal (Web)"/>
    <w:basedOn w:val="Normal"/>
    <w:uiPriority w:val="99"/>
    <w:semiHidden/>
    <w:unhideWhenUsed/>
    <w:rsid w:val="00F7465D"/>
    <w:pPr>
      <w:spacing w:before="100" w:beforeAutospacing="1" w:after="100" w:afterAutospacing="1" w:line="240" w:lineRule="auto"/>
    </w:pPr>
    <w:rPr>
      <w:rFonts w:eastAsia="Times New Roman"/>
      <w:bCs w:val="0"/>
    </w:rPr>
  </w:style>
  <w:style w:type="character" w:styleId="Emphasis">
    <w:name w:val="Emphasis"/>
    <w:basedOn w:val="DefaultParagraphFont"/>
    <w:uiPriority w:val="20"/>
    <w:qFormat/>
    <w:rsid w:val="00F7465D"/>
    <w:rPr>
      <w:i/>
      <w:iCs/>
    </w:rPr>
  </w:style>
  <w:style w:type="character" w:customStyle="1" w:styleId="UnresolvedMention1">
    <w:name w:val="Unresolved Mention1"/>
    <w:basedOn w:val="DefaultParagraphFont"/>
    <w:uiPriority w:val="99"/>
    <w:semiHidden/>
    <w:unhideWhenUsed/>
    <w:rsid w:val="00F7465D"/>
    <w:rPr>
      <w:color w:val="605E5C"/>
      <w:shd w:val="clear" w:color="auto" w:fill="E1DFDD"/>
    </w:rPr>
  </w:style>
  <w:style w:type="paragraph" w:styleId="Header">
    <w:name w:val="header"/>
    <w:basedOn w:val="Normal"/>
    <w:link w:val="HeaderChar"/>
    <w:uiPriority w:val="99"/>
    <w:unhideWhenUsed/>
    <w:rsid w:val="00AF16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1662"/>
  </w:style>
  <w:style w:type="paragraph" w:styleId="Footer">
    <w:name w:val="footer"/>
    <w:basedOn w:val="Normal"/>
    <w:link w:val="FooterChar"/>
    <w:uiPriority w:val="99"/>
    <w:unhideWhenUsed/>
    <w:rsid w:val="00AF16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1662"/>
  </w:style>
  <w:style w:type="paragraph" w:styleId="Bibliography">
    <w:name w:val="Bibliography"/>
    <w:basedOn w:val="Normal"/>
    <w:next w:val="Normal"/>
    <w:uiPriority w:val="37"/>
    <w:unhideWhenUsed/>
    <w:rsid w:val="00DC5139"/>
    <w:pPr>
      <w:spacing w:after="0" w:line="480" w:lineRule="auto"/>
      <w:ind w:left="720" w:hanging="720"/>
    </w:pPr>
  </w:style>
  <w:style w:type="character" w:styleId="HTMLCite">
    <w:name w:val="HTML Cite"/>
    <w:basedOn w:val="DefaultParagraphFont"/>
    <w:uiPriority w:val="99"/>
    <w:semiHidden/>
    <w:unhideWhenUsed/>
    <w:rsid w:val="0009425A"/>
    <w:rPr>
      <w:i/>
      <w:iCs/>
    </w:rPr>
  </w:style>
  <w:style w:type="character" w:customStyle="1" w:styleId="UnresolvedMention2">
    <w:name w:val="Unresolved Mention2"/>
    <w:basedOn w:val="DefaultParagraphFont"/>
    <w:uiPriority w:val="99"/>
    <w:semiHidden/>
    <w:unhideWhenUsed/>
    <w:rsid w:val="00B92494"/>
    <w:rPr>
      <w:color w:val="605E5C"/>
      <w:shd w:val="clear" w:color="auto" w:fill="E1DFDD"/>
    </w:rPr>
  </w:style>
  <w:style w:type="character" w:customStyle="1" w:styleId="UnresolvedMention3">
    <w:name w:val="Unresolved Mention3"/>
    <w:basedOn w:val="DefaultParagraphFont"/>
    <w:uiPriority w:val="99"/>
    <w:semiHidden/>
    <w:unhideWhenUsed/>
    <w:rsid w:val="009E3C2C"/>
    <w:rPr>
      <w:color w:val="605E5C"/>
      <w:shd w:val="clear" w:color="auto" w:fill="E1DFDD"/>
    </w:rPr>
  </w:style>
  <w:style w:type="paragraph" w:styleId="FootnoteText">
    <w:name w:val="footnote text"/>
    <w:basedOn w:val="Normal"/>
    <w:link w:val="FootnoteTextChar"/>
    <w:uiPriority w:val="99"/>
    <w:semiHidden/>
    <w:unhideWhenUsed/>
    <w:rsid w:val="00D63AB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63ABA"/>
    <w:rPr>
      <w:sz w:val="20"/>
      <w:szCs w:val="20"/>
    </w:rPr>
  </w:style>
  <w:style w:type="character" w:styleId="FootnoteReference">
    <w:name w:val="footnote reference"/>
    <w:basedOn w:val="DefaultParagraphFont"/>
    <w:uiPriority w:val="99"/>
    <w:semiHidden/>
    <w:unhideWhenUsed/>
    <w:rsid w:val="00D63ABA"/>
    <w:rPr>
      <w:vertAlign w:val="superscript"/>
    </w:rPr>
  </w:style>
  <w:style w:type="character" w:customStyle="1" w:styleId="UnresolvedMention4">
    <w:name w:val="Unresolved Mention4"/>
    <w:basedOn w:val="DefaultParagraphFont"/>
    <w:uiPriority w:val="99"/>
    <w:semiHidden/>
    <w:unhideWhenUsed/>
    <w:rsid w:val="007153BD"/>
    <w:rPr>
      <w:color w:val="605E5C"/>
      <w:shd w:val="clear" w:color="auto" w:fill="E1DFDD"/>
    </w:rPr>
  </w:style>
  <w:style w:type="table" w:styleId="TableGrid">
    <w:name w:val="Table Grid"/>
    <w:basedOn w:val="TableNormal"/>
    <w:uiPriority w:val="39"/>
    <w:rsid w:val="00DD65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5">
    <w:name w:val="Unresolved Mention5"/>
    <w:basedOn w:val="DefaultParagraphFont"/>
    <w:uiPriority w:val="99"/>
    <w:semiHidden/>
    <w:unhideWhenUsed/>
    <w:rsid w:val="008E1887"/>
    <w:rPr>
      <w:color w:val="605E5C"/>
      <w:shd w:val="clear" w:color="auto" w:fill="E1DFDD"/>
    </w:rPr>
  </w:style>
  <w:style w:type="character" w:customStyle="1" w:styleId="UnresolvedMention6">
    <w:name w:val="Unresolved Mention6"/>
    <w:basedOn w:val="DefaultParagraphFont"/>
    <w:uiPriority w:val="99"/>
    <w:semiHidden/>
    <w:unhideWhenUsed/>
    <w:rsid w:val="009C669A"/>
    <w:rPr>
      <w:color w:val="605E5C"/>
      <w:shd w:val="clear" w:color="auto" w:fill="E1DFDD"/>
    </w:rPr>
  </w:style>
  <w:style w:type="character" w:customStyle="1" w:styleId="UnresolvedMention7">
    <w:name w:val="Unresolved Mention7"/>
    <w:basedOn w:val="DefaultParagraphFont"/>
    <w:uiPriority w:val="99"/>
    <w:semiHidden/>
    <w:unhideWhenUsed/>
    <w:rsid w:val="00BA4FD5"/>
    <w:rPr>
      <w:color w:val="605E5C"/>
      <w:shd w:val="clear" w:color="auto" w:fill="E1DFDD"/>
    </w:rPr>
  </w:style>
  <w:style w:type="character" w:customStyle="1" w:styleId="author-name">
    <w:name w:val="author-name"/>
    <w:basedOn w:val="DefaultParagraphFont"/>
    <w:rsid w:val="00D13F7C"/>
  </w:style>
  <w:style w:type="character" w:customStyle="1" w:styleId="UnresolvedMention8">
    <w:name w:val="Unresolved Mention8"/>
    <w:basedOn w:val="DefaultParagraphFont"/>
    <w:uiPriority w:val="99"/>
    <w:semiHidden/>
    <w:unhideWhenUsed/>
    <w:rsid w:val="0080255A"/>
    <w:rPr>
      <w:color w:val="605E5C"/>
      <w:shd w:val="clear" w:color="auto" w:fill="E1DFDD"/>
    </w:rPr>
  </w:style>
  <w:style w:type="character" w:styleId="UnresolvedMention">
    <w:name w:val="Unresolved Mention"/>
    <w:basedOn w:val="DefaultParagraphFont"/>
    <w:uiPriority w:val="99"/>
    <w:semiHidden/>
    <w:unhideWhenUsed/>
    <w:rsid w:val="001C5712"/>
    <w:rPr>
      <w:color w:val="605E5C"/>
      <w:shd w:val="clear" w:color="auto" w:fill="E1DFDD"/>
    </w:rPr>
  </w:style>
  <w:style w:type="paragraph" w:styleId="Revision">
    <w:name w:val="Revision"/>
    <w:hidden/>
    <w:uiPriority w:val="99"/>
    <w:semiHidden/>
    <w:rsid w:val="00A536F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40855">
      <w:bodyDiv w:val="1"/>
      <w:marLeft w:val="0"/>
      <w:marRight w:val="0"/>
      <w:marTop w:val="0"/>
      <w:marBottom w:val="0"/>
      <w:divBdr>
        <w:top w:val="none" w:sz="0" w:space="0" w:color="auto"/>
        <w:left w:val="none" w:sz="0" w:space="0" w:color="auto"/>
        <w:bottom w:val="none" w:sz="0" w:space="0" w:color="auto"/>
        <w:right w:val="none" w:sz="0" w:space="0" w:color="auto"/>
      </w:divBdr>
    </w:div>
    <w:div w:id="36977047">
      <w:bodyDiv w:val="1"/>
      <w:marLeft w:val="0"/>
      <w:marRight w:val="0"/>
      <w:marTop w:val="0"/>
      <w:marBottom w:val="0"/>
      <w:divBdr>
        <w:top w:val="none" w:sz="0" w:space="0" w:color="auto"/>
        <w:left w:val="none" w:sz="0" w:space="0" w:color="auto"/>
        <w:bottom w:val="none" w:sz="0" w:space="0" w:color="auto"/>
        <w:right w:val="none" w:sz="0" w:space="0" w:color="auto"/>
      </w:divBdr>
    </w:div>
    <w:div w:id="78908142">
      <w:bodyDiv w:val="1"/>
      <w:marLeft w:val="0"/>
      <w:marRight w:val="0"/>
      <w:marTop w:val="0"/>
      <w:marBottom w:val="0"/>
      <w:divBdr>
        <w:top w:val="none" w:sz="0" w:space="0" w:color="auto"/>
        <w:left w:val="none" w:sz="0" w:space="0" w:color="auto"/>
        <w:bottom w:val="none" w:sz="0" w:space="0" w:color="auto"/>
        <w:right w:val="none" w:sz="0" w:space="0" w:color="auto"/>
      </w:divBdr>
    </w:div>
    <w:div w:id="191383373">
      <w:bodyDiv w:val="1"/>
      <w:marLeft w:val="0"/>
      <w:marRight w:val="0"/>
      <w:marTop w:val="0"/>
      <w:marBottom w:val="0"/>
      <w:divBdr>
        <w:top w:val="none" w:sz="0" w:space="0" w:color="auto"/>
        <w:left w:val="none" w:sz="0" w:space="0" w:color="auto"/>
        <w:bottom w:val="none" w:sz="0" w:space="0" w:color="auto"/>
        <w:right w:val="none" w:sz="0" w:space="0" w:color="auto"/>
      </w:divBdr>
    </w:div>
    <w:div w:id="191461568">
      <w:bodyDiv w:val="1"/>
      <w:marLeft w:val="0"/>
      <w:marRight w:val="0"/>
      <w:marTop w:val="0"/>
      <w:marBottom w:val="0"/>
      <w:divBdr>
        <w:top w:val="none" w:sz="0" w:space="0" w:color="auto"/>
        <w:left w:val="none" w:sz="0" w:space="0" w:color="auto"/>
        <w:bottom w:val="none" w:sz="0" w:space="0" w:color="auto"/>
        <w:right w:val="none" w:sz="0" w:space="0" w:color="auto"/>
      </w:divBdr>
    </w:div>
    <w:div w:id="197158956">
      <w:bodyDiv w:val="1"/>
      <w:marLeft w:val="0"/>
      <w:marRight w:val="0"/>
      <w:marTop w:val="0"/>
      <w:marBottom w:val="0"/>
      <w:divBdr>
        <w:top w:val="none" w:sz="0" w:space="0" w:color="auto"/>
        <w:left w:val="none" w:sz="0" w:space="0" w:color="auto"/>
        <w:bottom w:val="none" w:sz="0" w:space="0" w:color="auto"/>
        <w:right w:val="none" w:sz="0" w:space="0" w:color="auto"/>
      </w:divBdr>
    </w:div>
    <w:div w:id="260190077">
      <w:bodyDiv w:val="1"/>
      <w:marLeft w:val="0"/>
      <w:marRight w:val="0"/>
      <w:marTop w:val="0"/>
      <w:marBottom w:val="0"/>
      <w:divBdr>
        <w:top w:val="none" w:sz="0" w:space="0" w:color="auto"/>
        <w:left w:val="none" w:sz="0" w:space="0" w:color="auto"/>
        <w:bottom w:val="none" w:sz="0" w:space="0" w:color="auto"/>
        <w:right w:val="none" w:sz="0" w:space="0" w:color="auto"/>
      </w:divBdr>
    </w:div>
    <w:div w:id="283200913">
      <w:bodyDiv w:val="1"/>
      <w:marLeft w:val="0"/>
      <w:marRight w:val="0"/>
      <w:marTop w:val="0"/>
      <w:marBottom w:val="0"/>
      <w:divBdr>
        <w:top w:val="none" w:sz="0" w:space="0" w:color="auto"/>
        <w:left w:val="none" w:sz="0" w:space="0" w:color="auto"/>
        <w:bottom w:val="none" w:sz="0" w:space="0" w:color="auto"/>
        <w:right w:val="none" w:sz="0" w:space="0" w:color="auto"/>
      </w:divBdr>
    </w:div>
    <w:div w:id="358624456">
      <w:bodyDiv w:val="1"/>
      <w:marLeft w:val="0"/>
      <w:marRight w:val="0"/>
      <w:marTop w:val="0"/>
      <w:marBottom w:val="0"/>
      <w:divBdr>
        <w:top w:val="none" w:sz="0" w:space="0" w:color="auto"/>
        <w:left w:val="none" w:sz="0" w:space="0" w:color="auto"/>
        <w:bottom w:val="none" w:sz="0" w:space="0" w:color="auto"/>
        <w:right w:val="none" w:sz="0" w:space="0" w:color="auto"/>
      </w:divBdr>
    </w:div>
    <w:div w:id="518352488">
      <w:bodyDiv w:val="1"/>
      <w:marLeft w:val="0"/>
      <w:marRight w:val="0"/>
      <w:marTop w:val="0"/>
      <w:marBottom w:val="0"/>
      <w:divBdr>
        <w:top w:val="none" w:sz="0" w:space="0" w:color="auto"/>
        <w:left w:val="none" w:sz="0" w:space="0" w:color="auto"/>
        <w:bottom w:val="none" w:sz="0" w:space="0" w:color="auto"/>
        <w:right w:val="none" w:sz="0" w:space="0" w:color="auto"/>
      </w:divBdr>
    </w:div>
    <w:div w:id="548885477">
      <w:bodyDiv w:val="1"/>
      <w:marLeft w:val="0"/>
      <w:marRight w:val="0"/>
      <w:marTop w:val="0"/>
      <w:marBottom w:val="0"/>
      <w:divBdr>
        <w:top w:val="none" w:sz="0" w:space="0" w:color="auto"/>
        <w:left w:val="none" w:sz="0" w:space="0" w:color="auto"/>
        <w:bottom w:val="none" w:sz="0" w:space="0" w:color="auto"/>
        <w:right w:val="none" w:sz="0" w:space="0" w:color="auto"/>
      </w:divBdr>
    </w:div>
    <w:div w:id="583145665">
      <w:bodyDiv w:val="1"/>
      <w:marLeft w:val="0"/>
      <w:marRight w:val="0"/>
      <w:marTop w:val="0"/>
      <w:marBottom w:val="0"/>
      <w:divBdr>
        <w:top w:val="none" w:sz="0" w:space="0" w:color="auto"/>
        <w:left w:val="none" w:sz="0" w:space="0" w:color="auto"/>
        <w:bottom w:val="none" w:sz="0" w:space="0" w:color="auto"/>
        <w:right w:val="none" w:sz="0" w:space="0" w:color="auto"/>
      </w:divBdr>
    </w:div>
    <w:div w:id="620038518">
      <w:bodyDiv w:val="1"/>
      <w:marLeft w:val="0"/>
      <w:marRight w:val="0"/>
      <w:marTop w:val="0"/>
      <w:marBottom w:val="0"/>
      <w:divBdr>
        <w:top w:val="none" w:sz="0" w:space="0" w:color="auto"/>
        <w:left w:val="none" w:sz="0" w:space="0" w:color="auto"/>
        <w:bottom w:val="none" w:sz="0" w:space="0" w:color="auto"/>
        <w:right w:val="none" w:sz="0" w:space="0" w:color="auto"/>
      </w:divBdr>
    </w:div>
    <w:div w:id="680670239">
      <w:bodyDiv w:val="1"/>
      <w:marLeft w:val="0"/>
      <w:marRight w:val="0"/>
      <w:marTop w:val="0"/>
      <w:marBottom w:val="0"/>
      <w:divBdr>
        <w:top w:val="none" w:sz="0" w:space="0" w:color="auto"/>
        <w:left w:val="none" w:sz="0" w:space="0" w:color="auto"/>
        <w:bottom w:val="none" w:sz="0" w:space="0" w:color="auto"/>
        <w:right w:val="none" w:sz="0" w:space="0" w:color="auto"/>
      </w:divBdr>
    </w:div>
    <w:div w:id="702170814">
      <w:bodyDiv w:val="1"/>
      <w:marLeft w:val="0"/>
      <w:marRight w:val="0"/>
      <w:marTop w:val="0"/>
      <w:marBottom w:val="0"/>
      <w:divBdr>
        <w:top w:val="none" w:sz="0" w:space="0" w:color="auto"/>
        <w:left w:val="none" w:sz="0" w:space="0" w:color="auto"/>
        <w:bottom w:val="none" w:sz="0" w:space="0" w:color="auto"/>
        <w:right w:val="none" w:sz="0" w:space="0" w:color="auto"/>
      </w:divBdr>
    </w:div>
    <w:div w:id="707338932">
      <w:bodyDiv w:val="1"/>
      <w:marLeft w:val="0"/>
      <w:marRight w:val="0"/>
      <w:marTop w:val="0"/>
      <w:marBottom w:val="0"/>
      <w:divBdr>
        <w:top w:val="none" w:sz="0" w:space="0" w:color="auto"/>
        <w:left w:val="none" w:sz="0" w:space="0" w:color="auto"/>
        <w:bottom w:val="none" w:sz="0" w:space="0" w:color="auto"/>
        <w:right w:val="none" w:sz="0" w:space="0" w:color="auto"/>
      </w:divBdr>
    </w:div>
    <w:div w:id="715666719">
      <w:bodyDiv w:val="1"/>
      <w:marLeft w:val="0"/>
      <w:marRight w:val="0"/>
      <w:marTop w:val="0"/>
      <w:marBottom w:val="0"/>
      <w:divBdr>
        <w:top w:val="none" w:sz="0" w:space="0" w:color="auto"/>
        <w:left w:val="none" w:sz="0" w:space="0" w:color="auto"/>
        <w:bottom w:val="none" w:sz="0" w:space="0" w:color="auto"/>
        <w:right w:val="none" w:sz="0" w:space="0" w:color="auto"/>
      </w:divBdr>
    </w:div>
    <w:div w:id="736321075">
      <w:bodyDiv w:val="1"/>
      <w:marLeft w:val="0"/>
      <w:marRight w:val="0"/>
      <w:marTop w:val="0"/>
      <w:marBottom w:val="0"/>
      <w:divBdr>
        <w:top w:val="none" w:sz="0" w:space="0" w:color="auto"/>
        <w:left w:val="none" w:sz="0" w:space="0" w:color="auto"/>
        <w:bottom w:val="none" w:sz="0" w:space="0" w:color="auto"/>
        <w:right w:val="none" w:sz="0" w:space="0" w:color="auto"/>
      </w:divBdr>
    </w:div>
    <w:div w:id="743992029">
      <w:bodyDiv w:val="1"/>
      <w:marLeft w:val="0"/>
      <w:marRight w:val="0"/>
      <w:marTop w:val="0"/>
      <w:marBottom w:val="0"/>
      <w:divBdr>
        <w:top w:val="none" w:sz="0" w:space="0" w:color="auto"/>
        <w:left w:val="none" w:sz="0" w:space="0" w:color="auto"/>
        <w:bottom w:val="none" w:sz="0" w:space="0" w:color="auto"/>
        <w:right w:val="none" w:sz="0" w:space="0" w:color="auto"/>
      </w:divBdr>
      <w:divsChild>
        <w:div w:id="1133980739">
          <w:marLeft w:val="0"/>
          <w:marRight w:val="0"/>
          <w:marTop w:val="0"/>
          <w:marBottom w:val="0"/>
          <w:divBdr>
            <w:top w:val="none" w:sz="0" w:space="0" w:color="auto"/>
            <w:left w:val="none" w:sz="0" w:space="0" w:color="auto"/>
            <w:bottom w:val="none" w:sz="0" w:space="0" w:color="auto"/>
            <w:right w:val="none" w:sz="0" w:space="0" w:color="auto"/>
          </w:divBdr>
          <w:divsChild>
            <w:div w:id="1226913551">
              <w:marLeft w:val="0"/>
              <w:marRight w:val="0"/>
              <w:marTop w:val="0"/>
              <w:marBottom w:val="0"/>
              <w:divBdr>
                <w:top w:val="none" w:sz="0" w:space="0" w:color="auto"/>
                <w:left w:val="none" w:sz="0" w:space="0" w:color="auto"/>
                <w:bottom w:val="none" w:sz="0" w:space="0" w:color="auto"/>
                <w:right w:val="none" w:sz="0" w:space="0" w:color="auto"/>
              </w:divBdr>
              <w:divsChild>
                <w:div w:id="42915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873012">
      <w:bodyDiv w:val="1"/>
      <w:marLeft w:val="0"/>
      <w:marRight w:val="0"/>
      <w:marTop w:val="0"/>
      <w:marBottom w:val="0"/>
      <w:divBdr>
        <w:top w:val="none" w:sz="0" w:space="0" w:color="auto"/>
        <w:left w:val="none" w:sz="0" w:space="0" w:color="auto"/>
        <w:bottom w:val="none" w:sz="0" w:space="0" w:color="auto"/>
        <w:right w:val="none" w:sz="0" w:space="0" w:color="auto"/>
      </w:divBdr>
    </w:div>
    <w:div w:id="793252827">
      <w:bodyDiv w:val="1"/>
      <w:marLeft w:val="0"/>
      <w:marRight w:val="0"/>
      <w:marTop w:val="0"/>
      <w:marBottom w:val="0"/>
      <w:divBdr>
        <w:top w:val="none" w:sz="0" w:space="0" w:color="auto"/>
        <w:left w:val="none" w:sz="0" w:space="0" w:color="auto"/>
        <w:bottom w:val="none" w:sz="0" w:space="0" w:color="auto"/>
        <w:right w:val="none" w:sz="0" w:space="0" w:color="auto"/>
      </w:divBdr>
    </w:div>
    <w:div w:id="851182105">
      <w:bodyDiv w:val="1"/>
      <w:marLeft w:val="0"/>
      <w:marRight w:val="0"/>
      <w:marTop w:val="0"/>
      <w:marBottom w:val="0"/>
      <w:divBdr>
        <w:top w:val="none" w:sz="0" w:space="0" w:color="auto"/>
        <w:left w:val="none" w:sz="0" w:space="0" w:color="auto"/>
        <w:bottom w:val="none" w:sz="0" w:space="0" w:color="auto"/>
        <w:right w:val="none" w:sz="0" w:space="0" w:color="auto"/>
      </w:divBdr>
    </w:div>
    <w:div w:id="861631704">
      <w:bodyDiv w:val="1"/>
      <w:marLeft w:val="0"/>
      <w:marRight w:val="0"/>
      <w:marTop w:val="0"/>
      <w:marBottom w:val="0"/>
      <w:divBdr>
        <w:top w:val="none" w:sz="0" w:space="0" w:color="auto"/>
        <w:left w:val="none" w:sz="0" w:space="0" w:color="auto"/>
        <w:bottom w:val="none" w:sz="0" w:space="0" w:color="auto"/>
        <w:right w:val="none" w:sz="0" w:space="0" w:color="auto"/>
      </w:divBdr>
    </w:div>
    <w:div w:id="885605263">
      <w:bodyDiv w:val="1"/>
      <w:marLeft w:val="0"/>
      <w:marRight w:val="0"/>
      <w:marTop w:val="0"/>
      <w:marBottom w:val="0"/>
      <w:divBdr>
        <w:top w:val="none" w:sz="0" w:space="0" w:color="auto"/>
        <w:left w:val="none" w:sz="0" w:space="0" w:color="auto"/>
        <w:bottom w:val="none" w:sz="0" w:space="0" w:color="auto"/>
        <w:right w:val="none" w:sz="0" w:space="0" w:color="auto"/>
      </w:divBdr>
    </w:div>
    <w:div w:id="1011759592">
      <w:bodyDiv w:val="1"/>
      <w:marLeft w:val="0"/>
      <w:marRight w:val="0"/>
      <w:marTop w:val="0"/>
      <w:marBottom w:val="0"/>
      <w:divBdr>
        <w:top w:val="none" w:sz="0" w:space="0" w:color="auto"/>
        <w:left w:val="none" w:sz="0" w:space="0" w:color="auto"/>
        <w:bottom w:val="none" w:sz="0" w:space="0" w:color="auto"/>
        <w:right w:val="none" w:sz="0" w:space="0" w:color="auto"/>
      </w:divBdr>
    </w:div>
    <w:div w:id="1058751155">
      <w:bodyDiv w:val="1"/>
      <w:marLeft w:val="0"/>
      <w:marRight w:val="0"/>
      <w:marTop w:val="0"/>
      <w:marBottom w:val="0"/>
      <w:divBdr>
        <w:top w:val="none" w:sz="0" w:space="0" w:color="auto"/>
        <w:left w:val="none" w:sz="0" w:space="0" w:color="auto"/>
        <w:bottom w:val="none" w:sz="0" w:space="0" w:color="auto"/>
        <w:right w:val="none" w:sz="0" w:space="0" w:color="auto"/>
      </w:divBdr>
    </w:div>
    <w:div w:id="1119683100">
      <w:bodyDiv w:val="1"/>
      <w:marLeft w:val="0"/>
      <w:marRight w:val="0"/>
      <w:marTop w:val="0"/>
      <w:marBottom w:val="0"/>
      <w:divBdr>
        <w:top w:val="none" w:sz="0" w:space="0" w:color="auto"/>
        <w:left w:val="none" w:sz="0" w:space="0" w:color="auto"/>
        <w:bottom w:val="none" w:sz="0" w:space="0" w:color="auto"/>
        <w:right w:val="none" w:sz="0" w:space="0" w:color="auto"/>
      </w:divBdr>
    </w:div>
    <w:div w:id="1154834659">
      <w:bodyDiv w:val="1"/>
      <w:marLeft w:val="0"/>
      <w:marRight w:val="0"/>
      <w:marTop w:val="0"/>
      <w:marBottom w:val="0"/>
      <w:divBdr>
        <w:top w:val="none" w:sz="0" w:space="0" w:color="auto"/>
        <w:left w:val="none" w:sz="0" w:space="0" w:color="auto"/>
        <w:bottom w:val="none" w:sz="0" w:space="0" w:color="auto"/>
        <w:right w:val="none" w:sz="0" w:space="0" w:color="auto"/>
      </w:divBdr>
    </w:div>
    <w:div w:id="1206722122">
      <w:bodyDiv w:val="1"/>
      <w:marLeft w:val="0"/>
      <w:marRight w:val="0"/>
      <w:marTop w:val="0"/>
      <w:marBottom w:val="0"/>
      <w:divBdr>
        <w:top w:val="none" w:sz="0" w:space="0" w:color="auto"/>
        <w:left w:val="none" w:sz="0" w:space="0" w:color="auto"/>
        <w:bottom w:val="none" w:sz="0" w:space="0" w:color="auto"/>
        <w:right w:val="none" w:sz="0" w:space="0" w:color="auto"/>
      </w:divBdr>
    </w:div>
    <w:div w:id="1207835834">
      <w:bodyDiv w:val="1"/>
      <w:marLeft w:val="0"/>
      <w:marRight w:val="0"/>
      <w:marTop w:val="0"/>
      <w:marBottom w:val="0"/>
      <w:divBdr>
        <w:top w:val="none" w:sz="0" w:space="0" w:color="auto"/>
        <w:left w:val="none" w:sz="0" w:space="0" w:color="auto"/>
        <w:bottom w:val="none" w:sz="0" w:space="0" w:color="auto"/>
        <w:right w:val="none" w:sz="0" w:space="0" w:color="auto"/>
      </w:divBdr>
    </w:div>
    <w:div w:id="1227883781">
      <w:bodyDiv w:val="1"/>
      <w:marLeft w:val="0"/>
      <w:marRight w:val="0"/>
      <w:marTop w:val="0"/>
      <w:marBottom w:val="0"/>
      <w:divBdr>
        <w:top w:val="none" w:sz="0" w:space="0" w:color="auto"/>
        <w:left w:val="none" w:sz="0" w:space="0" w:color="auto"/>
        <w:bottom w:val="none" w:sz="0" w:space="0" w:color="auto"/>
        <w:right w:val="none" w:sz="0" w:space="0" w:color="auto"/>
      </w:divBdr>
    </w:div>
    <w:div w:id="1278558514">
      <w:bodyDiv w:val="1"/>
      <w:marLeft w:val="0"/>
      <w:marRight w:val="0"/>
      <w:marTop w:val="0"/>
      <w:marBottom w:val="0"/>
      <w:divBdr>
        <w:top w:val="none" w:sz="0" w:space="0" w:color="auto"/>
        <w:left w:val="none" w:sz="0" w:space="0" w:color="auto"/>
        <w:bottom w:val="none" w:sz="0" w:space="0" w:color="auto"/>
        <w:right w:val="none" w:sz="0" w:space="0" w:color="auto"/>
      </w:divBdr>
    </w:div>
    <w:div w:id="1338729426">
      <w:bodyDiv w:val="1"/>
      <w:marLeft w:val="0"/>
      <w:marRight w:val="0"/>
      <w:marTop w:val="0"/>
      <w:marBottom w:val="0"/>
      <w:divBdr>
        <w:top w:val="none" w:sz="0" w:space="0" w:color="auto"/>
        <w:left w:val="none" w:sz="0" w:space="0" w:color="auto"/>
        <w:bottom w:val="none" w:sz="0" w:space="0" w:color="auto"/>
        <w:right w:val="none" w:sz="0" w:space="0" w:color="auto"/>
      </w:divBdr>
    </w:div>
    <w:div w:id="1340885003">
      <w:bodyDiv w:val="1"/>
      <w:marLeft w:val="0"/>
      <w:marRight w:val="0"/>
      <w:marTop w:val="0"/>
      <w:marBottom w:val="0"/>
      <w:divBdr>
        <w:top w:val="none" w:sz="0" w:space="0" w:color="auto"/>
        <w:left w:val="none" w:sz="0" w:space="0" w:color="auto"/>
        <w:bottom w:val="none" w:sz="0" w:space="0" w:color="auto"/>
        <w:right w:val="none" w:sz="0" w:space="0" w:color="auto"/>
      </w:divBdr>
    </w:div>
    <w:div w:id="1464470402">
      <w:bodyDiv w:val="1"/>
      <w:marLeft w:val="0"/>
      <w:marRight w:val="0"/>
      <w:marTop w:val="0"/>
      <w:marBottom w:val="0"/>
      <w:divBdr>
        <w:top w:val="none" w:sz="0" w:space="0" w:color="auto"/>
        <w:left w:val="none" w:sz="0" w:space="0" w:color="auto"/>
        <w:bottom w:val="none" w:sz="0" w:space="0" w:color="auto"/>
        <w:right w:val="none" w:sz="0" w:space="0" w:color="auto"/>
      </w:divBdr>
    </w:div>
    <w:div w:id="1537309692">
      <w:bodyDiv w:val="1"/>
      <w:marLeft w:val="0"/>
      <w:marRight w:val="0"/>
      <w:marTop w:val="0"/>
      <w:marBottom w:val="0"/>
      <w:divBdr>
        <w:top w:val="none" w:sz="0" w:space="0" w:color="auto"/>
        <w:left w:val="none" w:sz="0" w:space="0" w:color="auto"/>
        <w:bottom w:val="none" w:sz="0" w:space="0" w:color="auto"/>
        <w:right w:val="none" w:sz="0" w:space="0" w:color="auto"/>
      </w:divBdr>
    </w:div>
    <w:div w:id="1557476127">
      <w:bodyDiv w:val="1"/>
      <w:marLeft w:val="0"/>
      <w:marRight w:val="0"/>
      <w:marTop w:val="0"/>
      <w:marBottom w:val="0"/>
      <w:divBdr>
        <w:top w:val="none" w:sz="0" w:space="0" w:color="auto"/>
        <w:left w:val="none" w:sz="0" w:space="0" w:color="auto"/>
        <w:bottom w:val="none" w:sz="0" w:space="0" w:color="auto"/>
        <w:right w:val="none" w:sz="0" w:space="0" w:color="auto"/>
      </w:divBdr>
    </w:div>
    <w:div w:id="1573127121">
      <w:bodyDiv w:val="1"/>
      <w:marLeft w:val="0"/>
      <w:marRight w:val="0"/>
      <w:marTop w:val="0"/>
      <w:marBottom w:val="0"/>
      <w:divBdr>
        <w:top w:val="none" w:sz="0" w:space="0" w:color="auto"/>
        <w:left w:val="none" w:sz="0" w:space="0" w:color="auto"/>
        <w:bottom w:val="none" w:sz="0" w:space="0" w:color="auto"/>
        <w:right w:val="none" w:sz="0" w:space="0" w:color="auto"/>
      </w:divBdr>
      <w:divsChild>
        <w:div w:id="918176755">
          <w:marLeft w:val="0"/>
          <w:marRight w:val="0"/>
          <w:marTop w:val="0"/>
          <w:marBottom w:val="0"/>
          <w:divBdr>
            <w:top w:val="none" w:sz="0" w:space="0" w:color="auto"/>
            <w:left w:val="none" w:sz="0" w:space="0" w:color="auto"/>
            <w:bottom w:val="none" w:sz="0" w:space="0" w:color="auto"/>
            <w:right w:val="none" w:sz="0" w:space="0" w:color="auto"/>
          </w:divBdr>
          <w:divsChild>
            <w:div w:id="2092851442">
              <w:marLeft w:val="0"/>
              <w:marRight w:val="0"/>
              <w:marTop w:val="0"/>
              <w:marBottom w:val="0"/>
              <w:divBdr>
                <w:top w:val="none" w:sz="0" w:space="0" w:color="auto"/>
                <w:left w:val="none" w:sz="0" w:space="0" w:color="auto"/>
                <w:bottom w:val="none" w:sz="0" w:space="0" w:color="auto"/>
                <w:right w:val="none" w:sz="0" w:space="0" w:color="auto"/>
              </w:divBdr>
              <w:divsChild>
                <w:div w:id="1085416637">
                  <w:marLeft w:val="0"/>
                  <w:marRight w:val="0"/>
                  <w:marTop w:val="0"/>
                  <w:marBottom w:val="0"/>
                  <w:divBdr>
                    <w:top w:val="none" w:sz="0" w:space="0" w:color="auto"/>
                    <w:left w:val="none" w:sz="0" w:space="0" w:color="auto"/>
                    <w:bottom w:val="none" w:sz="0" w:space="0" w:color="auto"/>
                    <w:right w:val="none" w:sz="0" w:space="0" w:color="auto"/>
                  </w:divBdr>
                  <w:divsChild>
                    <w:div w:id="64627947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1604460157">
      <w:bodyDiv w:val="1"/>
      <w:marLeft w:val="0"/>
      <w:marRight w:val="0"/>
      <w:marTop w:val="0"/>
      <w:marBottom w:val="0"/>
      <w:divBdr>
        <w:top w:val="none" w:sz="0" w:space="0" w:color="auto"/>
        <w:left w:val="none" w:sz="0" w:space="0" w:color="auto"/>
        <w:bottom w:val="none" w:sz="0" w:space="0" w:color="auto"/>
        <w:right w:val="none" w:sz="0" w:space="0" w:color="auto"/>
      </w:divBdr>
    </w:div>
    <w:div w:id="1610695919">
      <w:bodyDiv w:val="1"/>
      <w:marLeft w:val="0"/>
      <w:marRight w:val="0"/>
      <w:marTop w:val="0"/>
      <w:marBottom w:val="0"/>
      <w:divBdr>
        <w:top w:val="none" w:sz="0" w:space="0" w:color="auto"/>
        <w:left w:val="none" w:sz="0" w:space="0" w:color="auto"/>
        <w:bottom w:val="none" w:sz="0" w:space="0" w:color="auto"/>
        <w:right w:val="none" w:sz="0" w:space="0" w:color="auto"/>
      </w:divBdr>
    </w:div>
    <w:div w:id="1663462496">
      <w:bodyDiv w:val="1"/>
      <w:marLeft w:val="0"/>
      <w:marRight w:val="0"/>
      <w:marTop w:val="0"/>
      <w:marBottom w:val="0"/>
      <w:divBdr>
        <w:top w:val="none" w:sz="0" w:space="0" w:color="auto"/>
        <w:left w:val="none" w:sz="0" w:space="0" w:color="auto"/>
        <w:bottom w:val="none" w:sz="0" w:space="0" w:color="auto"/>
        <w:right w:val="none" w:sz="0" w:space="0" w:color="auto"/>
      </w:divBdr>
    </w:div>
    <w:div w:id="1677727989">
      <w:bodyDiv w:val="1"/>
      <w:marLeft w:val="0"/>
      <w:marRight w:val="0"/>
      <w:marTop w:val="0"/>
      <w:marBottom w:val="0"/>
      <w:divBdr>
        <w:top w:val="none" w:sz="0" w:space="0" w:color="auto"/>
        <w:left w:val="none" w:sz="0" w:space="0" w:color="auto"/>
        <w:bottom w:val="none" w:sz="0" w:space="0" w:color="auto"/>
        <w:right w:val="none" w:sz="0" w:space="0" w:color="auto"/>
      </w:divBdr>
    </w:div>
    <w:div w:id="1691179709">
      <w:bodyDiv w:val="1"/>
      <w:marLeft w:val="0"/>
      <w:marRight w:val="0"/>
      <w:marTop w:val="0"/>
      <w:marBottom w:val="0"/>
      <w:divBdr>
        <w:top w:val="none" w:sz="0" w:space="0" w:color="auto"/>
        <w:left w:val="none" w:sz="0" w:space="0" w:color="auto"/>
        <w:bottom w:val="none" w:sz="0" w:space="0" w:color="auto"/>
        <w:right w:val="none" w:sz="0" w:space="0" w:color="auto"/>
      </w:divBdr>
    </w:div>
    <w:div w:id="1702245529">
      <w:bodyDiv w:val="1"/>
      <w:marLeft w:val="0"/>
      <w:marRight w:val="0"/>
      <w:marTop w:val="0"/>
      <w:marBottom w:val="0"/>
      <w:divBdr>
        <w:top w:val="none" w:sz="0" w:space="0" w:color="auto"/>
        <w:left w:val="none" w:sz="0" w:space="0" w:color="auto"/>
        <w:bottom w:val="none" w:sz="0" w:space="0" w:color="auto"/>
        <w:right w:val="none" w:sz="0" w:space="0" w:color="auto"/>
      </w:divBdr>
    </w:div>
    <w:div w:id="1704406327">
      <w:bodyDiv w:val="1"/>
      <w:marLeft w:val="0"/>
      <w:marRight w:val="0"/>
      <w:marTop w:val="0"/>
      <w:marBottom w:val="0"/>
      <w:divBdr>
        <w:top w:val="none" w:sz="0" w:space="0" w:color="auto"/>
        <w:left w:val="none" w:sz="0" w:space="0" w:color="auto"/>
        <w:bottom w:val="none" w:sz="0" w:space="0" w:color="auto"/>
        <w:right w:val="none" w:sz="0" w:space="0" w:color="auto"/>
      </w:divBdr>
    </w:div>
    <w:div w:id="1724986426">
      <w:bodyDiv w:val="1"/>
      <w:marLeft w:val="0"/>
      <w:marRight w:val="0"/>
      <w:marTop w:val="0"/>
      <w:marBottom w:val="0"/>
      <w:divBdr>
        <w:top w:val="none" w:sz="0" w:space="0" w:color="auto"/>
        <w:left w:val="none" w:sz="0" w:space="0" w:color="auto"/>
        <w:bottom w:val="none" w:sz="0" w:space="0" w:color="auto"/>
        <w:right w:val="none" w:sz="0" w:space="0" w:color="auto"/>
      </w:divBdr>
      <w:divsChild>
        <w:div w:id="1214805053">
          <w:marLeft w:val="0"/>
          <w:marRight w:val="0"/>
          <w:marTop w:val="0"/>
          <w:marBottom w:val="0"/>
          <w:divBdr>
            <w:top w:val="none" w:sz="0" w:space="0" w:color="auto"/>
            <w:left w:val="none" w:sz="0" w:space="0" w:color="auto"/>
            <w:bottom w:val="none" w:sz="0" w:space="0" w:color="auto"/>
            <w:right w:val="none" w:sz="0" w:space="0" w:color="auto"/>
          </w:divBdr>
          <w:divsChild>
            <w:div w:id="1956401390">
              <w:marLeft w:val="0"/>
              <w:marRight w:val="0"/>
              <w:marTop w:val="0"/>
              <w:marBottom w:val="0"/>
              <w:divBdr>
                <w:top w:val="none" w:sz="0" w:space="0" w:color="auto"/>
                <w:left w:val="none" w:sz="0" w:space="0" w:color="auto"/>
                <w:bottom w:val="none" w:sz="0" w:space="0" w:color="auto"/>
                <w:right w:val="none" w:sz="0" w:space="0" w:color="auto"/>
              </w:divBdr>
              <w:divsChild>
                <w:div w:id="814221449">
                  <w:marLeft w:val="0"/>
                  <w:marRight w:val="0"/>
                  <w:marTop w:val="0"/>
                  <w:marBottom w:val="0"/>
                  <w:divBdr>
                    <w:top w:val="none" w:sz="0" w:space="0" w:color="auto"/>
                    <w:left w:val="none" w:sz="0" w:space="0" w:color="auto"/>
                    <w:bottom w:val="none" w:sz="0" w:space="0" w:color="auto"/>
                    <w:right w:val="none" w:sz="0" w:space="0" w:color="auto"/>
                  </w:divBdr>
                  <w:divsChild>
                    <w:div w:id="207010814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1734044426">
      <w:bodyDiv w:val="1"/>
      <w:marLeft w:val="0"/>
      <w:marRight w:val="0"/>
      <w:marTop w:val="0"/>
      <w:marBottom w:val="0"/>
      <w:divBdr>
        <w:top w:val="none" w:sz="0" w:space="0" w:color="auto"/>
        <w:left w:val="none" w:sz="0" w:space="0" w:color="auto"/>
        <w:bottom w:val="none" w:sz="0" w:space="0" w:color="auto"/>
        <w:right w:val="none" w:sz="0" w:space="0" w:color="auto"/>
      </w:divBdr>
    </w:div>
    <w:div w:id="1776635742">
      <w:bodyDiv w:val="1"/>
      <w:marLeft w:val="0"/>
      <w:marRight w:val="0"/>
      <w:marTop w:val="0"/>
      <w:marBottom w:val="0"/>
      <w:divBdr>
        <w:top w:val="none" w:sz="0" w:space="0" w:color="auto"/>
        <w:left w:val="none" w:sz="0" w:space="0" w:color="auto"/>
        <w:bottom w:val="none" w:sz="0" w:space="0" w:color="auto"/>
        <w:right w:val="none" w:sz="0" w:space="0" w:color="auto"/>
      </w:divBdr>
    </w:div>
    <w:div w:id="1789078432">
      <w:bodyDiv w:val="1"/>
      <w:marLeft w:val="0"/>
      <w:marRight w:val="0"/>
      <w:marTop w:val="0"/>
      <w:marBottom w:val="0"/>
      <w:divBdr>
        <w:top w:val="none" w:sz="0" w:space="0" w:color="auto"/>
        <w:left w:val="none" w:sz="0" w:space="0" w:color="auto"/>
        <w:bottom w:val="none" w:sz="0" w:space="0" w:color="auto"/>
        <w:right w:val="none" w:sz="0" w:space="0" w:color="auto"/>
      </w:divBdr>
    </w:div>
    <w:div w:id="1851218062">
      <w:bodyDiv w:val="1"/>
      <w:marLeft w:val="0"/>
      <w:marRight w:val="0"/>
      <w:marTop w:val="0"/>
      <w:marBottom w:val="0"/>
      <w:divBdr>
        <w:top w:val="none" w:sz="0" w:space="0" w:color="auto"/>
        <w:left w:val="none" w:sz="0" w:space="0" w:color="auto"/>
        <w:bottom w:val="none" w:sz="0" w:space="0" w:color="auto"/>
        <w:right w:val="none" w:sz="0" w:space="0" w:color="auto"/>
      </w:divBdr>
    </w:div>
    <w:div w:id="1870220697">
      <w:bodyDiv w:val="1"/>
      <w:marLeft w:val="0"/>
      <w:marRight w:val="0"/>
      <w:marTop w:val="0"/>
      <w:marBottom w:val="0"/>
      <w:divBdr>
        <w:top w:val="none" w:sz="0" w:space="0" w:color="auto"/>
        <w:left w:val="none" w:sz="0" w:space="0" w:color="auto"/>
        <w:bottom w:val="none" w:sz="0" w:space="0" w:color="auto"/>
        <w:right w:val="none" w:sz="0" w:space="0" w:color="auto"/>
      </w:divBdr>
      <w:divsChild>
        <w:div w:id="1409500518">
          <w:marLeft w:val="0"/>
          <w:marRight w:val="0"/>
          <w:marTop w:val="0"/>
          <w:marBottom w:val="0"/>
          <w:divBdr>
            <w:top w:val="none" w:sz="0" w:space="0" w:color="auto"/>
            <w:left w:val="none" w:sz="0" w:space="0" w:color="auto"/>
            <w:bottom w:val="none" w:sz="0" w:space="0" w:color="auto"/>
            <w:right w:val="none" w:sz="0" w:space="0" w:color="auto"/>
          </w:divBdr>
        </w:div>
      </w:divsChild>
    </w:div>
    <w:div w:id="1877306805">
      <w:bodyDiv w:val="1"/>
      <w:marLeft w:val="0"/>
      <w:marRight w:val="0"/>
      <w:marTop w:val="0"/>
      <w:marBottom w:val="0"/>
      <w:divBdr>
        <w:top w:val="none" w:sz="0" w:space="0" w:color="auto"/>
        <w:left w:val="none" w:sz="0" w:space="0" w:color="auto"/>
        <w:bottom w:val="none" w:sz="0" w:space="0" w:color="auto"/>
        <w:right w:val="none" w:sz="0" w:space="0" w:color="auto"/>
      </w:divBdr>
      <w:divsChild>
        <w:div w:id="185600859">
          <w:marLeft w:val="0"/>
          <w:marRight w:val="0"/>
          <w:marTop w:val="0"/>
          <w:marBottom w:val="0"/>
          <w:divBdr>
            <w:top w:val="none" w:sz="0" w:space="0" w:color="auto"/>
            <w:left w:val="none" w:sz="0" w:space="0" w:color="auto"/>
            <w:bottom w:val="none" w:sz="0" w:space="0" w:color="auto"/>
            <w:right w:val="none" w:sz="0" w:space="0" w:color="auto"/>
          </w:divBdr>
        </w:div>
        <w:div w:id="898130411">
          <w:marLeft w:val="0"/>
          <w:marRight w:val="0"/>
          <w:marTop w:val="0"/>
          <w:marBottom w:val="0"/>
          <w:divBdr>
            <w:top w:val="none" w:sz="0" w:space="0" w:color="auto"/>
            <w:left w:val="none" w:sz="0" w:space="0" w:color="auto"/>
            <w:bottom w:val="none" w:sz="0" w:space="0" w:color="auto"/>
            <w:right w:val="none" w:sz="0" w:space="0" w:color="auto"/>
          </w:divBdr>
        </w:div>
        <w:div w:id="518280738">
          <w:marLeft w:val="0"/>
          <w:marRight w:val="0"/>
          <w:marTop w:val="0"/>
          <w:marBottom w:val="0"/>
          <w:divBdr>
            <w:top w:val="none" w:sz="0" w:space="0" w:color="auto"/>
            <w:left w:val="none" w:sz="0" w:space="0" w:color="auto"/>
            <w:bottom w:val="none" w:sz="0" w:space="0" w:color="auto"/>
            <w:right w:val="none" w:sz="0" w:space="0" w:color="auto"/>
          </w:divBdr>
        </w:div>
        <w:div w:id="89938887">
          <w:marLeft w:val="0"/>
          <w:marRight w:val="0"/>
          <w:marTop w:val="0"/>
          <w:marBottom w:val="0"/>
          <w:divBdr>
            <w:top w:val="none" w:sz="0" w:space="0" w:color="auto"/>
            <w:left w:val="none" w:sz="0" w:space="0" w:color="auto"/>
            <w:bottom w:val="none" w:sz="0" w:space="0" w:color="auto"/>
            <w:right w:val="none" w:sz="0" w:space="0" w:color="auto"/>
          </w:divBdr>
        </w:div>
        <w:div w:id="118493555">
          <w:marLeft w:val="0"/>
          <w:marRight w:val="0"/>
          <w:marTop w:val="0"/>
          <w:marBottom w:val="0"/>
          <w:divBdr>
            <w:top w:val="none" w:sz="0" w:space="0" w:color="auto"/>
            <w:left w:val="none" w:sz="0" w:space="0" w:color="auto"/>
            <w:bottom w:val="none" w:sz="0" w:space="0" w:color="auto"/>
            <w:right w:val="none" w:sz="0" w:space="0" w:color="auto"/>
          </w:divBdr>
        </w:div>
      </w:divsChild>
    </w:div>
    <w:div w:id="1910841625">
      <w:bodyDiv w:val="1"/>
      <w:marLeft w:val="0"/>
      <w:marRight w:val="0"/>
      <w:marTop w:val="0"/>
      <w:marBottom w:val="0"/>
      <w:divBdr>
        <w:top w:val="none" w:sz="0" w:space="0" w:color="auto"/>
        <w:left w:val="none" w:sz="0" w:space="0" w:color="auto"/>
        <w:bottom w:val="none" w:sz="0" w:space="0" w:color="auto"/>
        <w:right w:val="none" w:sz="0" w:space="0" w:color="auto"/>
      </w:divBdr>
      <w:divsChild>
        <w:div w:id="1775200947">
          <w:marLeft w:val="0"/>
          <w:marRight w:val="0"/>
          <w:marTop w:val="0"/>
          <w:marBottom w:val="0"/>
          <w:divBdr>
            <w:top w:val="none" w:sz="0" w:space="0" w:color="auto"/>
            <w:left w:val="none" w:sz="0" w:space="0" w:color="auto"/>
            <w:bottom w:val="none" w:sz="0" w:space="0" w:color="auto"/>
            <w:right w:val="none" w:sz="0" w:space="0" w:color="auto"/>
          </w:divBdr>
        </w:div>
      </w:divsChild>
    </w:div>
    <w:div w:id="1932733476">
      <w:bodyDiv w:val="1"/>
      <w:marLeft w:val="0"/>
      <w:marRight w:val="0"/>
      <w:marTop w:val="0"/>
      <w:marBottom w:val="0"/>
      <w:divBdr>
        <w:top w:val="none" w:sz="0" w:space="0" w:color="auto"/>
        <w:left w:val="none" w:sz="0" w:space="0" w:color="auto"/>
        <w:bottom w:val="none" w:sz="0" w:space="0" w:color="auto"/>
        <w:right w:val="none" w:sz="0" w:space="0" w:color="auto"/>
      </w:divBdr>
    </w:div>
    <w:div w:id="1973755532">
      <w:bodyDiv w:val="1"/>
      <w:marLeft w:val="0"/>
      <w:marRight w:val="0"/>
      <w:marTop w:val="0"/>
      <w:marBottom w:val="0"/>
      <w:divBdr>
        <w:top w:val="none" w:sz="0" w:space="0" w:color="auto"/>
        <w:left w:val="none" w:sz="0" w:space="0" w:color="auto"/>
        <w:bottom w:val="none" w:sz="0" w:space="0" w:color="auto"/>
        <w:right w:val="none" w:sz="0" w:space="0" w:color="auto"/>
      </w:divBdr>
    </w:div>
    <w:div w:id="2096129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oi.org/10.1177/0049124192021002005" TargetMode="External"/><Relationship Id="rId18" Type="http://schemas.openxmlformats.org/officeDocument/2006/relationships/hyperlink" Target="https://doi.org/10.1016/j.beth.2019.04.001" TargetMode="External"/><Relationship Id="rId26" Type="http://schemas.openxmlformats.org/officeDocument/2006/relationships/hyperlink" Target="https://doi.org/10.1016/j.jsat.2015.09.006" TargetMode="External"/><Relationship Id="rId3" Type="http://schemas.openxmlformats.org/officeDocument/2006/relationships/customXml" Target="../customXml/item3.xml"/><Relationship Id="rId21" Type="http://schemas.openxmlformats.org/officeDocument/2006/relationships/hyperlink" Target="https://doi.org/10.1177%2F0011000018787261" TargetMode="External"/><Relationship Id="rId7" Type="http://schemas.openxmlformats.org/officeDocument/2006/relationships/settings" Target="settings.xml"/><Relationship Id="rId12" Type="http://schemas.openxmlformats.org/officeDocument/2006/relationships/hyperlink" Target="https://doi.org/10.1016/j.jagp.2015.06.002" TargetMode="External"/><Relationship Id="rId17" Type="http://schemas.openxmlformats.org/officeDocument/2006/relationships/hyperlink" Target="https://doi.org/10.1037/a0029597" TargetMode="External"/><Relationship Id="rId25" Type="http://schemas.openxmlformats.org/officeDocument/2006/relationships/hyperlink" Target="https://doi.org/10.1080/00224490903062258" TargetMode="External"/><Relationship Id="rId2" Type="http://schemas.openxmlformats.org/officeDocument/2006/relationships/customXml" Target="../customXml/item2.xml"/><Relationship Id="rId16" Type="http://schemas.openxmlformats.org/officeDocument/2006/relationships/hyperlink" Target="http://dx.doi.org/10.1037/rmh0000002" TargetMode="External"/><Relationship Id="rId20" Type="http://schemas.openxmlformats.org/officeDocument/2006/relationships/hyperlink" Target="https://doi.org/10.1300/J056v14n04_03"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oi.org/10.2105/AJPH.2013.301241" TargetMode="External"/><Relationship Id="rId24" Type="http://schemas.openxmlformats.org/officeDocument/2006/relationships/hyperlink" Target="https://doi.org/10.1111/socf.12193"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doi.org/10.1111/j.1467-9280.2007.01882.x" TargetMode="External"/><Relationship Id="rId23" Type="http://schemas.openxmlformats.org/officeDocument/2006/relationships/hyperlink" Target="https://doi.org/10.1053/apnu.2003.1" TargetMode="External"/><Relationship Id="rId28" Type="http://schemas.openxmlformats.org/officeDocument/2006/relationships/hyperlink" Target="https://doi.org/10.1007/s10608-014-9650-8" TargetMode="External"/><Relationship Id="rId10" Type="http://schemas.openxmlformats.org/officeDocument/2006/relationships/endnotes" Target="endnotes.xml"/><Relationship Id="rId19" Type="http://schemas.openxmlformats.org/officeDocument/2006/relationships/hyperlink" Target="https://doi.org/10.1016/j.copsyc.2015.01.014"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oi.org/10.1037/a0020472" TargetMode="External"/><Relationship Id="rId22" Type="http://schemas.openxmlformats.org/officeDocument/2006/relationships/hyperlink" Target="https://doi.org/10.1080/15298868.2014.950691" TargetMode="External"/><Relationship Id="rId27" Type="http://schemas.openxmlformats.org/officeDocument/2006/relationships/hyperlink" Target="https://psycnet.apa.org/doi/10.1037/fam0000561"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94F1DC101B88D44A9272BCCD057072ED" ma:contentTypeVersion="15" ma:contentTypeDescription="Create a new document." ma:contentTypeScope="" ma:versionID="82a42ce658d1d839b1f881a49c4c4e53">
  <xsd:schema xmlns:xsd="http://www.w3.org/2001/XMLSchema" xmlns:xs="http://www.w3.org/2001/XMLSchema" xmlns:p="http://schemas.microsoft.com/office/2006/metadata/properties" xmlns:ns3="c5374d67-f421-4d4a-8d3f-91baa40145ac" xmlns:ns4="ef205891-e9f2-4760-bb1c-5ee685b42149" targetNamespace="http://schemas.microsoft.com/office/2006/metadata/properties" ma:root="true" ma:fieldsID="97ded3d1c563f958c63bd8586e0bccc8" ns3:_="" ns4:_="">
    <xsd:import namespace="c5374d67-f421-4d4a-8d3f-91baa40145ac"/>
    <xsd:import namespace="ef205891-e9f2-4760-bb1c-5ee685b42149"/>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374d67-f421-4d4a-8d3f-91baa40145a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f205891-e9f2-4760-bb1c-5ee685b42149"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description="" ma:internalName="MediaServiceAutoTags" ma:readOnly="true">
      <xsd:simpleType>
        <xsd:restriction base="dms:Text"/>
      </xsd:simpleType>
    </xsd:element>
    <xsd:element name="MediaServiceDateTaken" ma:index="16" nillable="true" ma:displayName="MediaServiceDateTaken" ma:description="" ma:hidden="true" ma:internalName="MediaServiceDateTake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838F148-A746-4137-9663-C64FC249678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AFC48FF-925E-407B-AE5C-32EDF8652FD7}">
  <ds:schemaRefs>
    <ds:schemaRef ds:uri="http://schemas.microsoft.com/sharepoint/v3/contenttype/forms"/>
  </ds:schemaRefs>
</ds:datastoreItem>
</file>

<file path=customXml/itemProps3.xml><?xml version="1.0" encoding="utf-8"?>
<ds:datastoreItem xmlns:ds="http://schemas.openxmlformats.org/officeDocument/2006/customXml" ds:itemID="{ACDBFF69-A9A8-441F-8352-605A9B8F860E}">
  <ds:schemaRefs>
    <ds:schemaRef ds:uri="http://schemas.openxmlformats.org/officeDocument/2006/bibliography"/>
  </ds:schemaRefs>
</ds:datastoreItem>
</file>

<file path=customXml/itemProps4.xml><?xml version="1.0" encoding="utf-8"?>
<ds:datastoreItem xmlns:ds="http://schemas.openxmlformats.org/officeDocument/2006/customXml" ds:itemID="{E05B095E-80B5-41B3-B86E-420FF58AC5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374d67-f421-4d4a-8d3f-91baa40145ac"/>
    <ds:schemaRef ds:uri="ef205891-e9f2-4760-bb1c-5ee685b421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38</Pages>
  <Words>10472</Words>
  <Characters>59691</Characters>
  <Application>Microsoft Office Word</Application>
  <DocSecurity>0</DocSecurity>
  <Lines>497</Lines>
  <Paragraphs>140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Allura Ralston</dc:creator>
  <cp:keywords/>
  <dc:description/>
  <cp:lastModifiedBy>Allura Le Blanc-Ralston</cp:lastModifiedBy>
  <cp:revision>22</cp:revision>
  <cp:lastPrinted>2021-01-30T23:35:00Z</cp:lastPrinted>
  <dcterms:created xsi:type="dcterms:W3CDTF">2022-06-29T19:02:00Z</dcterms:created>
  <dcterms:modified xsi:type="dcterms:W3CDTF">2022-06-29T19:24:00Z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zotero-version="5.0.69"&gt;&lt;session id="mTB2bV8K"/&gt;&lt;style id="http://www.zotero.org/styles/apa" locale="en-US" hasBibliography="1" bibliographyStyleHasBeenSet="1"/&gt;&lt;prefs&gt;&lt;pref name="fieldType" value="Field"/&gt;&lt;pref name="storeReference</vt:lpwstr>
  </property>
  <property fmtid="{D5CDD505-2E9C-101B-9397-08002B2CF9AE}" pid="3" name="ZOTERO_PREF_2">
    <vt:lpwstr>s" value="true"/&gt;&lt;pref name="automaticJournalAbbreviations" value="true"/&gt;&lt;/prefs&gt;&lt;/data&gt;</vt:lpwstr>
  </property>
  <property fmtid="{D5CDD505-2E9C-101B-9397-08002B2CF9AE}" pid="4" name="ContentTypeId">
    <vt:lpwstr>0x01010094F1DC101B88D44A9272BCCD057072ED</vt:lpwstr>
  </property>
</Properties>
</file>